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37F45" w14:textId="3803F6DD" w:rsidR="00B9491A" w:rsidRPr="00B9491A" w:rsidRDefault="00B9491A" w:rsidP="00B9491A">
      <w:pPr>
        <w:tabs>
          <w:tab w:val="right" w:pos="20000"/>
        </w:tabs>
        <w:spacing w:after="0"/>
        <w:rPr>
          <w:rFonts w:ascii="Arial" w:eastAsia="MS Mincho" w:hAnsi="Arial" w:cs="Arial"/>
          <w:b/>
          <w:noProof/>
          <w:sz w:val="24"/>
          <w:szCs w:val="24"/>
        </w:rPr>
      </w:pPr>
      <w:bookmarkStart w:id="0" w:name="OLE_LINK15"/>
      <w:bookmarkStart w:id="1" w:name="_Hlk84666062"/>
      <w:r w:rsidRPr="00B9491A">
        <w:rPr>
          <w:rFonts w:ascii="Arial" w:eastAsia="MS Mincho" w:hAnsi="Arial"/>
          <w:b/>
          <w:noProof/>
          <w:sz w:val="24"/>
        </w:rPr>
        <w:t>3GPP TSG-</w:t>
      </w:r>
      <w:r w:rsidRPr="00B9491A">
        <w:rPr>
          <w:rFonts w:ascii="Arial" w:eastAsia="MS Mincho" w:hAnsi="Arial"/>
          <w:b/>
          <w:noProof/>
          <w:sz w:val="24"/>
          <w:lang w:eastAsia="zh-CN"/>
        </w:rPr>
        <w:t>RAN WG4</w:t>
      </w:r>
      <w:r w:rsidRPr="00B9491A">
        <w:rPr>
          <w:rFonts w:ascii="Arial" w:eastAsia="MS Mincho" w:hAnsi="Arial"/>
          <w:b/>
          <w:noProof/>
          <w:sz w:val="24"/>
        </w:rPr>
        <w:t xml:space="preserve"> Meetin</w:t>
      </w:r>
      <w:r w:rsidRPr="00B9491A">
        <w:rPr>
          <w:rFonts w:ascii="Arial" w:eastAsia="MS Mincho" w:hAnsi="Arial"/>
          <w:b/>
          <w:noProof/>
          <w:sz w:val="24"/>
          <w:lang w:eastAsia="zh-CN"/>
        </w:rPr>
        <w:t>g #106-bis-e</w:t>
      </w:r>
      <w:r w:rsidRPr="00B9491A">
        <w:rPr>
          <w:rFonts w:ascii="Arial" w:eastAsia="MS Mincho" w:hAnsi="Arial" w:cs="Arial"/>
          <w:b/>
          <w:noProof/>
          <w:sz w:val="24"/>
          <w:szCs w:val="24"/>
        </w:rPr>
        <w:tab/>
      </w:r>
      <w:r w:rsidR="002A2920" w:rsidRPr="002A2920">
        <w:rPr>
          <w:rFonts w:ascii="Arial" w:eastAsia="MS Mincho" w:hAnsi="Arial" w:cs="Arial"/>
          <w:b/>
          <w:noProof/>
          <w:sz w:val="24"/>
          <w:szCs w:val="24"/>
        </w:rPr>
        <w:t>R4-2305476</w:t>
      </w:r>
    </w:p>
    <w:bookmarkEnd w:id="0"/>
    <w:p w14:paraId="00163C88" w14:textId="77777777" w:rsidR="00B9491A" w:rsidRPr="00B9491A" w:rsidRDefault="00B9491A" w:rsidP="00B9491A">
      <w:pPr>
        <w:spacing w:after="120"/>
        <w:outlineLvl w:val="0"/>
        <w:rPr>
          <w:rFonts w:ascii="Arial" w:eastAsia="MS Mincho" w:hAnsi="Arial"/>
          <w:b/>
          <w:noProof/>
          <w:sz w:val="24"/>
        </w:rPr>
      </w:pPr>
      <w:r w:rsidRPr="00B9491A">
        <w:rPr>
          <w:rFonts w:ascii="Arial" w:eastAsia="MS Mincho" w:hAnsi="Arial"/>
          <w:b/>
          <w:noProof/>
          <w:sz w:val="24"/>
        </w:rPr>
        <w:t>Online, 17</w:t>
      </w:r>
      <w:r w:rsidRPr="00B9491A">
        <w:rPr>
          <w:rFonts w:ascii="Arial" w:eastAsia="MS Mincho" w:hAnsi="Arial"/>
          <w:b/>
          <w:noProof/>
          <w:sz w:val="24"/>
          <w:vertAlign w:val="superscript"/>
        </w:rPr>
        <w:t>th</w:t>
      </w:r>
      <w:r w:rsidRPr="00B9491A">
        <w:rPr>
          <w:rFonts w:ascii="Arial" w:eastAsia="MS Mincho" w:hAnsi="Arial"/>
          <w:b/>
          <w:noProof/>
          <w:sz w:val="24"/>
        </w:rPr>
        <w:t xml:space="preserve"> - 26</w:t>
      </w:r>
      <w:r w:rsidRPr="00B9491A">
        <w:rPr>
          <w:rFonts w:ascii="Arial" w:eastAsia="MS Mincho" w:hAnsi="Arial"/>
          <w:b/>
          <w:noProof/>
          <w:sz w:val="24"/>
          <w:vertAlign w:val="superscript"/>
        </w:rPr>
        <w:t>th</w:t>
      </w:r>
      <w:r w:rsidRPr="00B9491A">
        <w:rPr>
          <w:rFonts w:ascii="Arial" w:eastAsia="MS Mincho" w:hAnsi="Arial"/>
          <w:b/>
          <w:noProof/>
          <w:sz w:val="24"/>
        </w:rPr>
        <w:t xml:space="preserve"> Apr, 2023</w:t>
      </w:r>
    </w:p>
    <w:bookmarkEnd w:id="1"/>
    <w:p w14:paraId="0985FDF3" w14:textId="44BFC200" w:rsidR="00D46BD4" w:rsidRPr="002031E4" w:rsidRDefault="00D46BD4" w:rsidP="00D46BD4">
      <w:pPr>
        <w:pStyle w:val="ab"/>
        <w:jc w:val="both"/>
        <w:rPr>
          <w:rFonts w:eastAsia="宋体"/>
          <w:i w:val="0"/>
          <w:noProof w:val="0"/>
          <w:sz w:val="24"/>
        </w:rPr>
      </w:pPr>
    </w:p>
    <w:p w14:paraId="746C058D" w14:textId="23579233"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1F30E9" w:rsidRPr="001F30E9">
        <w:rPr>
          <w:rFonts w:ascii="Arial" w:hAnsi="Arial"/>
          <w:sz w:val="24"/>
          <w:lang w:val="en-US" w:eastAsia="zh-CN"/>
        </w:rPr>
        <w:t>Discussion on NR UE ATG demodulation requirements</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2CA96F18"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2A2920" w:rsidRPr="002A2920">
        <w:rPr>
          <w:rFonts w:ascii="Arial" w:hAnsi="Arial"/>
          <w:sz w:val="24"/>
          <w:lang w:val="pt-BR"/>
        </w:rPr>
        <w:t>5.14.5.2</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69523BEC" w14:textId="7F8C6D74" w:rsidR="002031E4" w:rsidRPr="004B565E" w:rsidRDefault="002031E4" w:rsidP="002031E4">
      <w:pPr>
        <w:rPr>
          <w:lang w:val="en-US" w:eastAsia="zh-CN"/>
        </w:rPr>
      </w:pPr>
      <w:r>
        <w:rPr>
          <w:lang w:eastAsia="zh-CN"/>
        </w:rPr>
        <w:t xml:space="preserve">During RAN4#106 meeting, 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w:t>
      </w:r>
      <w:r w:rsidRPr="00661D17">
        <w:rPr>
          <w:lang w:eastAsia="zh-CN"/>
        </w:rPr>
        <w:t>for ATG demodulation requirements</w:t>
      </w:r>
      <w:r w:rsidRPr="004B565E">
        <w:rPr>
          <w:lang w:eastAsia="zh-CN"/>
        </w:rPr>
        <w:t xml:space="preserve"> was approved. </w:t>
      </w:r>
      <w:r w:rsidRPr="004B565E">
        <w:rPr>
          <w:lang w:val="en-US" w:eastAsia="zh-CN"/>
        </w:rPr>
        <w:t xml:space="preserve">In this contribution, we share our views about </w:t>
      </w:r>
      <w:r w:rsidR="003C5126" w:rsidRPr="003C5126">
        <w:rPr>
          <w:lang w:val="en-US" w:eastAsia="zh-CN"/>
        </w:rPr>
        <w:t xml:space="preserve">NR </w:t>
      </w:r>
      <w:r w:rsidR="003C5126">
        <w:rPr>
          <w:lang w:val="en-US" w:eastAsia="zh-CN"/>
        </w:rPr>
        <w:t>UE</w:t>
      </w:r>
      <w:r w:rsidR="003C5126" w:rsidRPr="003C5126">
        <w:rPr>
          <w:lang w:val="en-US" w:eastAsia="zh-CN"/>
        </w:rPr>
        <w:t xml:space="preserve"> ATG demodulation requirements.</w:t>
      </w:r>
    </w:p>
    <w:p w14:paraId="4B381C34" w14:textId="18365F70" w:rsidR="00EA7C2F" w:rsidRDefault="00EA7C2F" w:rsidP="00D46BD4">
      <w:pPr>
        <w:pStyle w:val="1"/>
        <w:rPr>
          <w:lang w:val="en-US" w:eastAsia="zh-CN"/>
        </w:rPr>
      </w:pPr>
      <w:r>
        <w:rPr>
          <w:rFonts w:hint="eastAsia"/>
          <w:lang w:val="en-US" w:eastAsia="zh-CN"/>
        </w:rPr>
        <w:t>D</w:t>
      </w:r>
      <w:r>
        <w:rPr>
          <w:lang w:val="en-US" w:eastAsia="zh-CN"/>
        </w:rPr>
        <w:t>iscussion</w:t>
      </w:r>
    </w:p>
    <w:p w14:paraId="78F7FE1C" w14:textId="752F8B6E" w:rsidR="001F30E9" w:rsidRDefault="001F30E9" w:rsidP="001F30E9">
      <w:pPr>
        <w:pStyle w:val="2"/>
        <w:rPr>
          <w:lang w:val="en-US" w:eastAsia="zh-CN"/>
        </w:rPr>
      </w:pPr>
      <w:r>
        <w:rPr>
          <w:rFonts w:hint="eastAsia"/>
          <w:lang w:val="en-US" w:eastAsia="zh-CN"/>
        </w:rPr>
        <w:t>T</w:t>
      </w:r>
      <w:r>
        <w:rPr>
          <w:lang w:val="en-US" w:eastAsia="zh-CN"/>
        </w:rPr>
        <w:t>est scope</w:t>
      </w:r>
    </w:p>
    <w:tbl>
      <w:tblPr>
        <w:tblStyle w:val="ae"/>
        <w:tblW w:w="0" w:type="auto"/>
        <w:tblLook w:val="04A0" w:firstRow="1" w:lastRow="0" w:firstColumn="1" w:lastColumn="0" w:noHBand="0" w:noVBand="1"/>
      </w:tblPr>
      <w:tblGrid>
        <w:gridCol w:w="10456"/>
      </w:tblGrid>
      <w:tr w:rsidR="003C5126" w:rsidRPr="003C5126" w14:paraId="3FF97B8A" w14:textId="77777777" w:rsidTr="003C5126">
        <w:tc>
          <w:tcPr>
            <w:tcW w:w="10456" w:type="dxa"/>
          </w:tcPr>
          <w:p w14:paraId="024D27FF" w14:textId="6D7524C7" w:rsidR="003C5126" w:rsidRPr="003C5126" w:rsidRDefault="003C5126" w:rsidP="003C5126">
            <w:pPr>
              <w:pStyle w:val="a3"/>
              <w:numPr>
                <w:ilvl w:val="0"/>
                <w:numId w:val="5"/>
              </w:numPr>
              <w:ind w:firstLineChars="0"/>
              <w:rPr>
                <w:i/>
                <w:lang w:val="en-US" w:eastAsia="zh-CN"/>
              </w:rPr>
            </w:pPr>
            <w:r w:rsidRPr="003C5126">
              <w:rPr>
                <w:i/>
                <w:lang w:val="en-US" w:eastAsia="zh-CN"/>
              </w:rPr>
              <w:t>Define PDSCH demodulation requirements for ATG UE.</w:t>
            </w:r>
          </w:p>
          <w:p w14:paraId="331ECF0A" w14:textId="3FE2FE93" w:rsidR="003C5126" w:rsidRPr="003C5126" w:rsidRDefault="003C5126" w:rsidP="003C5126">
            <w:pPr>
              <w:numPr>
                <w:ilvl w:val="0"/>
                <w:numId w:val="5"/>
              </w:numPr>
              <w:spacing w:after="120"/>
              <w:rPr>
                <w:i/>
                <w:lang w:val="en-US" w:eastAsia="zh-CN"/>
              </w:rPr>
            </w:pPr>
            <w:r w:rsidRPr="003C5126">
              <w:rPr>
                <w:rFonts w:hint="eastAsia"/>
                <w:i/>
                <w:lang w:val="en-US" w:eastAsia="zh-CN"/>
              </w:rPr>
              <w:t>FFS on PDCCH and CSI reporting</w:t>
            </w:r>
          </w:p>
        </w:tc>
      </w:tr>
    </w:tbl>
    <w:p w14:paraId="3C04EA15" w14:textId="4B30B43B" w:rsidR="003C5126" w:rsidRDefault="003C5126" w:rsidP="003C5126">
      <w:pPr>
        <w:rPr>
          <w:lang w:val="en-US" w:eastAsia="zh-CN"/>
        </w:rPr>
      </w:pPr>
    </w:p>
    <w:p w14:paraId="267F1653" w14:textId="7ACEE445" w:rsidR="002B020F" w:rsidRDefault="00C25574" w:rsidP="00C25574">
      <w:pPr>
        <w:rPr>
          <w:lang w:val="en-US" w:eastAsia="zh-CN"/>
        </w:rPr>
      </w:pPr>
      <w:r>
        <w:rPr>
          <w:lang w:val="en-US" w:eastAsia="zh-CN"/>
        </w:rPr>
        <w:t xml:space="preserve">In last meeting, </w:t>
      </w:r>
      <w:r w:rsidR="00A72589">
        <w:rPr>
          <w:lang w:val="en-US" w:eastAsia="zh-CN"/>
        </w:rPr>
        <w:t>RAN4</w:t>
      </w:r>
      <w:r>
        <w:rPr>
          <w:lang w:val="en-US" w:eastAsia="zh-CN"/>
        </w:rPr>
        <w:t xml:space="preserve"> agreed to define PDSCH requirements for ATG UE. From our understanding, the performance under PDCCH can also be verified by the agreed PDSCH requirements since PDCCH is </w:t>
      </w:r>
      <w:r w:rsidR="00FC0CD2">
        <w:rPr>
          <w:lang w:val="en-US" w:eastAsia="zh-CN"/>
        </w:rPr>
        <w:t xml:space="preserve">also </w:t>
      </w:r>
      <w:r>
        <w:rPr>
          <w:lang w:val="en-US" w:eastAsia="zh-CN"/>
        </w:rPr>
        <w:t>transmitted</w:t>
      </w:r>
      <w:r w:rsidR="00FC0CD2">
        <w:rPr>
          <w:lang w:val="en-US" w:eastAsia="zh-CN"/>
        </w:rPr>
        <w:t xml:space="preserve"> in the PDSCH test setup</w:t>
      </w:r>
      <w:r>
        <w:rPr>
          <w:lang w:val="en-US" w:eastAsia="zh-CN"/>
        </w:rPr>
        <w:t xml:space="preserve">, so we </w:t>
      </w:r>
      <w:r w:rsidR="00FC0CD2">
        <w:rPr>
          <w:lang w:val="en-US" w:eastAsia="zh-CN"/>
        </w:rPr>
        <w:t>prefer</w:t>
      </w:r>
      <w:r>
        <w:rPr>
          <w:lang w:val="en-US" w:eastAsia="zh-CN"/>
        </w:rPr>
        <w:t xml:space="preserve"> to not define PDCCH performance requirements for ATG UE.</w:t>
      </w:r>
    </w:p>
    <w:p w14:paraId="14B13260" w14:textId="1BED8CC3" w:rsidR="003C5126" w:rsidRPr="003C5126" w:rsidRDefault="003C5126" w:rsidP="003C5126">
      <w:pPr>
        <w:rPr>
          <w:lang w:val="en-US" w:eastAsia="zh-CN"/>
        </w:rPr>
      </w:pPr>
      <w:r w:rsidRPr="003C5126">
        <w:rPr>
          <w:lang w:val="en-US" w:eastAsia="zh-CN"/>
        </w:rPr>
        <w:t>For CSI reporting requirements, we don’t see any algorithm changed for the C</w:t>
      </w:r>
      <w:r w:rsidR="00FC0CD2">
        <w:rPr>
          <w:lang w:val="en-US" w:eastAsia="zh-CN"/>
        </w:rPr>
        <w:t>S</w:t>
      </w:r>
      <w:r w:rsidRPr="003C5126">
        <w:rPr>
          <w:lang w:val="en-US" w:eastAsia="zh-CN"/>
        </w:rPr>
        <w:t>I reporting between legacy network and ATG network. Although the ATG UE has slower relative velocity to the BS than NTN scenario so that the channel is not changed so rapidly, from our understanding, the C</w:t>
      </w:r>
      <w:r w:rsidR="00FC0CD2">
        <w:rPr>
          <w:lang w:val="en-US" w:eastAsia="zh-CN"/>
        </w:rPr>
        <w:t>S</w:t>
      </w:r>
      <w:r w:rsidRPr="003C5126">
        <w:rPr>
          <w:lang w:val="en-US" w:eastAsia="zh-CN"/>
        </w:rPr>
        <w:t>I reporting performance under ATG scenario can be ensured by legacy C</w:t>
      </w:r>
      <w:r w:rsidR="00FC0CD2">
        <w:rPr>
          <w:lang w:val="en-US" w:eastAsia="zh-CN"/>
        </w:rPr>
        <w:t>S</w:t>
      </w:r>
      <w:r w:rsidRPr="003C5126">
        <w:rPr>
          <w:lang w:val="en-US" w:eastAsia="zh-CN"/>
        </w:rPr>
        <w:t xml:space="preserve">I reporting cases. Therefore, we </w:t>
      </w:r>
      <w:r w:rsidR="00FC0CD2" w:rsidRPr="00FC0CD2">
        <w:rPr>
          <w:lang w:val="en-US" w:eastAsia="zh-CN"/>
        </w:rPr>
        <w:t xml:space="preserve">prefer </w:t>
      </w:r>
      <w:r w:rsidRPr="003C5126">
        <w:rPr>
          <w:lang w:val="en-US" w:eastAsia="zh-CN"/>
        </w:rPr>
        <w:t xml:space="preserve">to not </w:t>
      </w:r>
      <w:r w:rsidR="00FC0CD2">
        <w:rPr>
          <w:lang w:val="en-US" w:eastAsia="zh-CN"/>
        </w:rPr>
        <w:t>define</w:t>
      </w:r>
      <w:r w:rsidRPr="003C5126">
        <w:rPr>
          <w:lang w:val="en-US" w:eastAsia="zh-CN"/>
        </w:rPr>
        <w:t xml:space="preserve"> CSI reporting requirements for ATG </w:t>
      </w:r>
      <w:r w:rsidR="00FC0CD2" w:rsidRPr="00FC0CD2">
        <w:rPr>
          <w:lang w:val="en-US" w:eastAsia="zh-CN"/>
        </w:rPr>
        <w:t>UE</w:t>
      </w:r>
      <w:r w:rsidRPr="003C5126">
        <w:rPr>
          <w:lang w:val="en-US" w:eastAsia="zh-CN"/>
        </w:rPr>
        <w:t>.</w:t>
      </w:r>
    </w:p>
    <w:p w14:paraId="3217B436" w14:textId="42A8607D" w:rsidR="003C5126" w:rsidRPr="003C5126" w:rsidRDefault="003C5126" w:rsidP="003C5126">
      <w:pPr>
        <w:pStyle w:val="Proposal"/>
      </w:pPr>
      <w:r w:rsidRPr="003C5126">
        <w:t xml:space="preserve">Do not </w:t>
      </w:r>
      <w:r w:rsidR="00FC0CD2">
        <w:t>define</w:t>
      </w:r>
      <w:r w:rsidRPr="003C5126">
        <w:t xml:space="preserve"> </w:t>
      </w:r>
      <w:r w:rsidR="00FC0CD2" w:rsidRPr="00FC0CD2">
        <w:t>PDCCH and CSI reporting</w:t>
      </w:r>
      <w:r w:rsidRPr="003C5126">
        <w:t xml:space="preserve"> requirements for ATG </w:t>
      </w:r>
      <w:r w:rsidR="00FC0CD2">
        <w:t>UE</w:t>
      </w:r>
      <w:r w:rsidRPr="003C5126">
        <w:t>.</w:t>
      </w:r>
    </w:p>
    <w:p w14:paraId="6C872C7D" w14:textId="387D59DB" w:rsidR="00FC0CD2" w:rsidRDefault="00FC0CD2" w:rsidP="00FC0CD2">
      <w:pPr>
        <w:pStyle w:val="2"/>
        <w:rPr>
          <w:lang w:val="en-US" w:eastAsia="zh-CN"/>
        </w:rPr>
      </w:pPr>
      <w:r>
        <w:rPr>
          <w:rFonts w:hint="eastAsia"/>
          <w:lang w:val="en-US" w:eastAsia="zh-CN"/>
        </w:rPr>
        <w:t>K</w:t>
      </w:r>
      <w:r>
        <w:rPr>
          <w:lang w:val="en-US" w:eastAsia="zh-CN"/>
        </w:rPr>
        <w:t>_offset</w:t>
      </w:r>
    </w:p>
    <w:tbl>
      <w:tblPr>
        <w:tblStyle w:val="ae"/>
        <w:tblW w:w="0" w:type="auto"/>
        <w:tblLook w:val="04A0" w:firstRow="1" w:lastRow="0" w:firstColumn="1" w:lastColumn="0" w:noHBand="0" w:noVBand="1"/>
      </w:tblPr>
      <w:tblGrid>
        <w:gridCol w:w="10456"/>
      </w:tblGrid>
      <w:tr w:rsidR="00EA7CEC" w:rsidRPr="00EA7CEC" w14:paraId="45522C8E" w14:textId="77777777" w:rsidTr="00EA7CEC">
        <w:tc>
          <w:tcPr>
            <w:tcW w:w="10456" w:type="dxa"/>
          </w:tcPr>
          <w:p w14:paraId="61B10A08" w14:textId="77777777" w:rsidR="00EA7CEC" w:rsidRPr="00EA7CEC" w:rsidRDefault="00EA7CEC" w:rsidP="00EA7CEC">
            <w:pPr>
              <w:numPr>
                <w:ilvl w:val="0"/>
                <w:numId w:val="5"/>
              </w:numPr>
              <w:spacing w:after="120"/>
              <w:rPr>
                <w:i/>
                <w:lang w:val="en-US" w:eastAsia="zh-CN"/>
              </w:rPr>
            </w:pPr>
            <w:r w:rsidRPr="00EA7CEC">
              <w:rPr>
                <w:rFonts w:hint="eastAsia"/>
                <w:i/>
                <w:lang w:val="en-US" w:eastAsia="zh-CN"/>
              </w:rPr>
              <w:t xml:space="preserve">If </w:t>
            </w:r>
            <w:r w:rsidRPr="00EA7CEC">
              <w:rPr>
                <w:i/>
                <w:lang w:val="en-US" w:eastAsia="zh-CN"/>
              </w:rPr>
              <w:t>K</w:t>
            </w:r>
            <w:r w:rsidRPr="00EA7CEC">
              <w:rPr>
                <w:i/>
                <w:vertAlign w:val="subscript"/>
                <w:lang w:val="en-US" w:eastAsia="zh-CN"/>
              </w:rPr>
              <w:t>offset</w:t>
            </w:r>
            <w:r w:rsidRPr="00EA7CEC">
              <w:rPr>
                <w:rFonts w:hint="eastAsia"/>
                <w:i/>
                <w:vertAlign w:val="subscript"/>
                <w:lang w:val="en-US" w:eastAsia="zh-CN"/>
              </w:rPr>
              <w:t xml:space="preserve"> </w:t>
            </w:r>
            <w:r w:rsidRPr="00EA7CEC">
              <w:rPr>
                <w:rFonts w:hint="eastAsia"/>
                <w:i/>
                <w:lang w:val="en-US" w:eastAsia="zh-CN"/>
              </w:rPr>
              <w:t>is introduced in ATG demodulation requirements</w:t>
            </w:r>
          </w:p>
          <w:p w14:paraId="5FDAC153" w14:textId="77777777" w:rsidR="00EA7CEC" w:rsidRPr="00EA7CEC" w:rsidRDefault="00EA7CEC" w:rsidP="00EA7CEC">
            <w:pPr>
              <w:numPr>
                <w:ilvl w:val="1"/>
                <w:numId w:val="5"/>
              </w:numPr>
              <w:spacing w:after="120"/>
              <w:rPr>
                <w:i/>
                <w:lang w:val="en-US" w:eastAsia="zh-CN"/>
              </w:rPr>
            </w:pPr>
            <w:r w:rsidRPr="00EA7CEC">
              <w:rPr>
                <w:i/>
                <w:lang w:val="en-US" w:eastAsia="zh-CN"/>
              </w:rPr>
              <w:t>Option 1: Select the K</w:t>
            </w:r>
            <w:r w:rsidRPr="00EA7CEC">
              <w:rPr>
                <w:i/>
                <w:vertAlign w:val="subscript"/>
                <w:lang w:val="en-US" w:eastAsia="zh-CN"/>
              </w:rPr>
              <w:t>offset</w:t>
            </w:r>
            <w:r w:rsidRPr="00EA7CEC">
              <w:rPr>
                <w:i/>
                <w:lang w:val="en-US" w:eastAsia="zh-CN"/>
              </w:rPr>
              <w:t xml:space="preserve"> value 2ms for ATG performance requirements.</w:t>
            </w:r>
          </w:p>
          <w:p w14:paraId="464E4FA4" w14:textId="607CF900" w:rsidR="00EA7CEC" w:rsidRPr="00EA7CEC" w:rsidRDefault="00EA7CEC" w:rsidP="00FC0CD2">
            <w:pPr>
              <w:numPr>
                <w:ilvl w:val="1"/>
                <w:numId w:val="5"/>
              </w:numPr>
              <w:spacing w:after="120"/>
              <w:rPr>
                <w:i/>
                <w:lang w:val="en-US" w:eastAsia="zh-CN"/>
              </w:rPr>
            </w:pPr>
            <w:r w:rsidRPr="00EA7CEC">
              <w:rPr>
                <w:rFonts w:hint="eastAsia"/>
                <w:i/>
                <w:lang w:val="en-US" w:eastAsia="zh-CN"/>
              </w:rPr>
              <w:t>Other options are not precluded</w:t>
            </w:r>
          </w:p>
        </w:tc>
      </w:tr>
    </w:tbl>
    <w:p w14:paraId="3BED080A" w14:textId="1557DD50" w:rsidR="00FC0CD2" w:rsidRDefault="00FC0CD2" w:rsidP="00FC0CD2">
      <w:pPr>
        <w:rPr>
          <w:lang w:val="en-US" w:eastAsia="zh-CN"/>
        </w:rPr>
      </w:pPr>
    </w:p>
    <w:p w14:paraId="6A2A9892" w14:textId="79D2691C" w:rsidR="00A20D89" w:rsidRDefault="00A20D89" w:rsidP="00A20D89">
      <w:pPr>
        <w:rPr>
          <w:lang w:val="en-US" w:eastAsia="zh-CN"/>
        </w:rPr>
      </w:pPr>
      <w:r>
        <w:rPr>
          <w:lang w:val="en-US" w:eastAsia="zh-CN"/>
        </w:rPr>
        <w:t xml:space="preserve">In last meeting K_offset value is </w:t>
      </w:r>
      <w:r w:rsidR="00960FB9">
        <w:rPr>
          <w:lang w:val="en-US" w:eastAsia="zh-CN"/>
        </w:rPr>
        <w:t>proposed</w:t>
      </w:r>
      <w:r>
        <w:rPr>
          <w:lang w:val="en-US" w:eastAsia="zh-CN"/>
        </w:rPr>
        <w:t xml:space="preserve"> to be configured for ATG UE demodulation requirements. The main concern is that there is large </w:t>
      </w:r>
      <w:r w:rsidR="004638D2">
        <w:rPr>
          <w:lang w:val="en-US" w:eastAsia="zh-CN"/>
        </w:rPr>
        <w:t>timing difference between DL and UL</w:t>
      </w:r>
      <w:r w:rsidR="00A324C0">
        <w:rPr>
          <w:lang w:val="en-US" w:eastAsia="zh-CN"/>
        </w:rPr>
        <w:t xml:space="preserve"> so the timing relationship between DL transmission and the corresponding HARQ-ACK should be updated</w:t>
      </w:r>
      <w:r w:rsidR="001E3A40">
        <w:rPr>
          <w:lang w:val="en-US" w:eastAsia="zh-CN"/>
        </w:rPr>
        <w:t xml:space="preserve">. </w:t>
      </w:r>
      <w:r w:rsidR="00A324C0">
        <w:rPr>
          <w:lang w:val="en-US" w:eastAsia="zh-CN"/>
        </w:rPr>
        <w:t xml:space="preserve">Based on our calculation, </w:t>
      </w:r>
      <w:r>
        <w:rPr>
          <w:lang w:val="en-US" w:eastAsia="zh-CN"/>
        </w:rPr>
        <w:t xml:space="preserve">the BS-UE RTT delay </w:t>
      </w:r>
      <w:r w:rsidR="00A324C0">
        <w:rPr>
          <w:lang w:val="en-US" w:eastAsia="zh-CN"/>
        </w:rPr>
        <w:t xml:space="preserve">is derived </w:t>
      </w:r>
      <w:r>
        <w:rPr>
          <w:lang w:val="en-US" w:eastAsia="zh-CN"/>
        </w:rPr>
        <w:t>as following Table 2.2-1.</w:t>
      </w:r>
    </w:p>
    <w:p w14:paraId="7F2BFABE" w14:textId="4E92CD04" w:rsidR="00A20D89" w:rsidRPr="008A3803" w:rsidRDefault="00A20D89" w:rsidP="00A20D89">
      <w:pPr>
        <w:keepNext/>
        <w:keepLines/>
        <w:spacing w:before="60"/>
        <w:jc w:val="center"/>
        <w:rPr>
          <w:rFonts w:ascii="Arial" w:hAnsi="Arial" w:cs="Arial"/>
          <w:b/>
          <w:lang w:val="x-none" w:eastAsia="zh-CN"/>
        </w:rPr>
      </w:pPr>
      <w:r w:rsidRPr="008A3803">
        <w:rPr>
          <w:rFonts w:ascii="Arial" w:hAnsi="Arial" w:cs="Arial" w:hint="eastAsia"/>
          <w:b/>
          <w:lang w:val="x-none" w:eastAsia="zh-CN"/>
        </w:rPr>
        <w:lastRenderedPageBreak/>
        <w:t>T</w:t>
      </w:r>
      <w:r w:rsidRPr="008A3803">
        <w:rPr>
          <w:rFonts w:ascii="Arial" w:hAnsi="Arial" w:cs="Arial"/>
          <w:b/>
          <w:lang w:val="x-none" w:eastAsia="zh-CN"/>
        </w:rPr>
        <w:t>able 2.</w:t>
      </w:r>
      <w:r>
        <w:rPr>
          <w:rFonts w:ascii="Arial" w:hAnsi="Arial" w:cs="Arial"/>
          <w:b/>
          <w:lang w:val="x-none" w:eastAsia="zh-CN"/>
        </w:rPr>
        <w:t>2</w:t>
      </w:r>
      <w:r w:rsidRPr="008A3803">
        <w:rPr>
          <w:rFonts w:ascii="Arial" w:hAnsi="Arial" w:cs="Arial"/>
          <w:b/>
          <w:lang w:val="x-none" w:eastAsia="zh-CN"/>
        </w:rPr>
        <w:t>-</w:t>
      </w:r>
      <w:r w:rsidRPr="008A3803">
        <w:rPr>
          <w:rFonts w:ascii="Arial" w:hAnsi="Arial" w:cs="Arial"/>
          <w:b/>
          <w:lang w:val="x-none" w:eastAsia="zh-CN"/>
        </w:rPr>
        <w:fldChar w:fldCharType="begin"/>
      </w:r>
      <w:r w:rsidRPr="008A3803">
        <w:rPr>
          <w:rFonts w:ascii="Arial" w:hAnsi="Arial" w:cs="Arial"/>
          <w:b/>
          <w:lang w:val="x-none" w:eastAsia="zh-CN"/>
        </w:rPr>
        <w:instrText xml:space="preserve"> SEQ Table \* ARABIC </w:instrText>
      </w:r>
      <w:r w:rsidRPr="008A3803">
        <w:rPr>
          <w:rFonts w:ascii="Arial" w:hAnsi="Arial" w:cs="Arial"/>
          <w:b/>
          <w:lang w:val="x-none" w:eastAsia="zh-CN"/>
        </w:rPr>
        <w:fldChar w:fldCharType="separate"/>
      </w:r>
      <w:r w:rsidRPr="008A3803">
        <w:rPr>
          <w:rFonts w:ascii="Arial" w:hAnsi="Arial" w:cs="Arial"/>
          <w:b/>
          <w:noProof/>
          <w:lang w:val="x-none" w:eastAsia="zh-CN"/>
        </w:rPr>
        <w:t>1</w:t>
      </w:r>
      <w:r w:rsidRPr="008A3803">
        <w:rPr>
          <w:rFonts w:ascii="Arial" w:hAnsi="Arial" w:cs="Arial"/>
          <w:b/>
          <w:lang w:val="x-none" w:eastAsia="zh-CN"/>
        </w:rPr>
        <w:fldChar w:fldCharType="end"/>
      </w:r>
      <w:r w:rsidRPr="008A3803">
        <w:rPr>
          <w:rFonts w:ascii="Arial" w:hAnsi="Arial" w:cs="Arial"/>
          <w:b/>
          <w:lang w:val="x-none" w:eastAsia="zh-CN"/>
        </w:rPr>
        <w:t xml:space="preserve"> </w:t>
      </w:r>
      <w:r w:rsidRPr="00255A65">
        <w:rPr>
          <w:rFonts w:ascii="Arial" w:hAnsi="Arial" w:cs="Arial"/>
          <w:b/>
          <w:lang w:val="x-none" w:eastAsia="zh-CN"/>
        </w:rPr>
        <w:t>BS-</w:t>
      </w:r>
      <w:r>
        <w:rPr>
          <w:rFonts w:ascii="Arial" w:hAnsi="Arial" w:cs="Arial"/>
          <w:b/>
          <w:lang w:val="x-none" w:eastAsia="zh-CN"/>
        </w:rPr>
        <w:t>U</w:t>
      </w:r>
      <w:r w:rsidRPr="00255A65">
        <w:rPr>
          <w:rFonts w:ascii="Arial" w:hAnsi="Arial" w:cs="Arial"/>
          <w:b/>
          <w:lang w:val="x-none" w:eastAsia="zh-CN"/>
        </w:rPr>
        <w:t>E</w:t>
      </w:r>
      <w:r w:rsidRPr="008A3803">
        <w:rPr>
          <w:rFonts w:ascii="Arial" w:hAnsi="Arial" w:cs="Arial"/>
          <w:b/>
          <w:lang w:val="x-none" w:eastAsia="zh-CN"/>
        </w:rPr>
        <w:t xml:space="preserve"> RTT delay</w:t>
      </w:r>
    </w:p>
    <w:tbl>
      <w:tblPr>
        <w:tblStyle w:val="21111"/>
        <w:tblW w:w="0" w:type="auto"/>
        <w:jc w:val="center"/>
        <w:tblInd w:w="0" w:type="dxa"/>
        <w:tblLook w:val="04A0" w:firstRow="1" w:lastRow="0" w:firstColumn="1" w:lastColumn="0" w:noHBand="0" w:noVBand="1"/>
      </w:tblPr>
      <w:tblGrid>
        <w:gridCol w:w="1277"/>
        <w:gridCol w:w="567"/>
        <w:gridCol w:w="567"/>
        <w:gridCol w:w="567"/>
      </w:tblGrid>
      <w:tr w:rsidR="00A20D89" w:rsidRPr="008A3803" w14:paraId="4A9A8C6D" w14:textId="77777777" w:rsidTr="00B64691">
        <w:trPr>
          <w:jc w:val="center"/>
        </w:trPr>
        <w:tc>
          <w:tcPr>
            <w:tcW w:w="0" w:type="auto"/>
            <w:tcBorders>
              <w:top w:val="single" w:sz="4" w:space="0" w:color="auto"/>
              <w:left w:val="single" w:sz="4" w:space="0" w:color="auto"/>
              <w:right w:val="single" w:sz="4" w:space="0" w:color="auto"/>
            </w:tcBorders>
            <w:vAlign w:val="center"/>
          </w:tcPr>
          <w:p w14:paraId="553F45D4" w14:textId="77777777" w:rsidR="00A20D89" w:rsidRPr="008A3803" w:rsidRDefault="00A20D89" w:rsidP="00B6469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istance/km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6CB20" w14:textId="77777777" w:rsidR="00A20D89" w:rsidRPr="008A3803" w:rsidRDefault="00A20D89" w:rsidP="00B64691">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B8728" w14:textId="77777777" w:rsidR="00A20D89" w:rsidRPr="008A3803" w:rsidRDefault="00A20D89" w:rsidP="00B64691">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20</w:t>
            </w:r>
            <w:r>
              <w:rPr>
                <w:rFonts w:ascii="Arial" w:eastAsia="Times New Roman" w:hAnsi="Arial" w:cs="Arial"/>
                <w:b/>
                <w:sz w:val="18"/>
                <w:lang w:eastAsia="ko-KR"/>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CDF2D" w14:textId="77777777" w:rsidR="00A20D89" w:rsidRPr="008A3803" w:rsidRDefault="00A20D89" w:rsidP="00B64691">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30</w:t>
            </w:r>
            <w:r>
              <w:rPr>
                <w:rFonts w:ascii="Arial" w:eastAsia="Times New Roman" w:hAnsi="Arial" w:cs="Arial"/>
                <w:b/>
                <w:sz w:val="18"/>
                <w:lang w:eastAsia="ko-KR"/>
              </w:rPr>
              <w:t>0</w:t>
            </w:r>
          </w:p>
        </w:tc>
      </w:tr>
      <w:tr w:rsidR="00A20D89" w:rsidRPr="008A3803" w14:paraId="6C6363DF" w14:textId="77777777" w:rsidTr="00B64691">
        <w:trPr>
          <w:jc w:val="center"/>
        </w:trPr>
        <w:tc>
          <w:tcPr>
            <w:tcW w:w="0" w:type="auto"/>
            <w:tcBorders>
              <w:left w:val="single" w:sz="4" w:space="0" w:color="auto"/>
              <w:right w:val="single" w:sz="4" w:space="0" w:color="auto"/>
            </w:tcBorders>
            <w:vAlign w:val="center"/>
          </w:tcPr>
          <w:p w14:paraId="260A0B97" w14:textId="77777777" w:rsidR="00A20D89" w:rsidRPr="008A3803" w:rsidRDefault="00A20D89" w:rsidP="00B64691">
            <w:pPr>
              <w:keepNext/>
              <w:keepLines/>
              <w:overflowPunct w:val="0"/>
              <w:autoSpaceDE w:val="0"/>
              <w:autoSpaceDN w:val="0"/>
              <w:adjustRightInd w:val="0"/>
              <w:spacing w:after="0"/>
              <w:jc w:val="center"/>
              <w:rPr>
                <w:rFonts w:ascii="Arial" w:eastAsia="Times New Roman" w:hAnsi="Arial" w:cs="Arial"/>
                <w:b/>
                <w:sz w:val="18"/>
                <w:lang w:eastAsia="ko-KR"/>
              </w:rPr>
            </w:pPr>
            <w:r w:rsidRPr="008A3803">
              <w:rPr>
                <w:rFonts w:ascii="Arial" w:eastAsia="Times New Roman" w:hAnsi="Arial" w:cs="Arial"/>
                <w:b/>
                <w:sz w:val="18"/>
                <w:lang w:eastAsia="ko-KR"/>
              </w:rPr>
              <w:t>Delay</w:t>
            </w:r>
            <w:r>
              <w:rPr>
                <w:rFonts w:ascii="Arial" w:eastAsia="Times New Roman" w:hAnsi="Arial" w:cs="Arial"/>
                <w:b/>
                <w:sz w:val="18"/>
                <w:lang w:eastAsia="ko-KR"/>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B5919" w14:textId="77777777" w:rsidR="00A20D89" w:rsidRPr="008A3803"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0</w:t>
            </w:r>
            <w:r>
              <w:rPr>
                <w:rFonts w:ascii="Arial" w:eastAsiaTheme="minorEastAsia" w:hAnsi="Arial" w:cs="Arial"/>
                <w:sz w:val="18"/>
                <w:lang w:val="en-US"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0B98" w14:textId="77777777" w:rsidR="00A20D89" w:rsidRPr="008A3803"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79532" w14:textId="77777777" w:rsidR="00A20D89" w:rsidRPr="008A3803"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r>
              <w:rPr>
                <w:rFonts w:ascii="Arial" w:eastAsiaTheme="minorEastAsia" w:hAnsi="Arial" w:cs="Arial"/>
                <w:sz w:val="18"/>
                <w:lang w:val="en-US" w:eastAsia="zh-CN"/>
              </w:rPr>
              <w:t>.00</w:t>
            </w:r>
          </w:p>
        </w:tc>
      </w:tr>
      <w:tr w:rsidR="00A20D89" w:rsidRPr="008A3803" w14:paraId="01580351" w14:textId="77777777" w:rsidTr="00B64691">
        <w:trPr>
          <w:jc w:val="center"/>
        </w:trPr>
        <w:tc>
          <w:tcPr>
            <w:tcW w:w="0" w:type="auto"/>
            <w:tcBorders>
              <w:left w:val="single" w:sz="4" w:space="0" w:color="auto"/>
              <w:right w:val="single" w:sz="4" w:space="0" w:color="auto"/>
            </w:tcBorders>
            <w:vAlign w:val="center"/>
          </w:tcPr>
          <w:p w14:paraId="3BFB5181" w14:textId="77777777" w:rsidR="00A20D89" w:rsidRPr="00BE7653" w:rsidRDefault="00A20D89" w:rsidP="00B64691">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K_offset</w:t>
            </w:r>
          </w:p>
        </w:tc>
        <w:tc>
          <w:tcPr>
            <w:tcW w:w="0" w:type="auto"/>
            <w:tcBorders>
              <w:top w:val="single" w:sz="4" w:space="0" w:color="auto"/>
              <w:left w:val="single" w:sz="4" w:space="0" w:color="auto"/>
              <w:bottom w:val="single" w:sz="4" w:space="0" w:color="auto"/>
              <w:right w:val="single" w:sz="4" w:space="0" w:color="auto"/>
            </w:tcBorders>
            <w:vAlign w:val="center"/>
          </w:tcPr>
          <w:p w14:paraId="3372A67E" w14:textId="77777777" w:rsidR="00A20D89"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6A0770" w14:textId="77777777" w:rsidR="00A20D89"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EAC4176" w14:textId="77777777" w:rsidR="00A20D89" w:rsidRDefault="00A20D89" w:rsidP="00B64691">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2</w:t>
            </w:r>
          </w:p>
        </w:tc>
      </w:tr>
    </w:tbl>
    <w:p w14:paraId="2883FDCA" w14:textId="77777777" w:rsidR="00A20D89" w:rsidRPr="008A3803" w:rsidRDefault="00A20D89" w:rsidP="00A20D89">
      <w:pPr>
        <w:rPr>
          <w:lang w:val="en-US" w:eastAsia="zh-CN"/>
        </w:rPr>
      </w:pPr>
    </w:p>
    <w:p w14:paraId="6AABED2C" w14:textId="41C80EFA" w:rsidR="00A20D89" w:rsidRPr="008A3803" w:rsidRDefault="00A20D89" w:rsidP="00A20D89">
      <w:pPr>
        <w:rPr>
          <w:lang w:val="en-US" w:eastAsia="zh-CN"/>
        </w:rPr>
      </w:pPr>
      <w:r>
        <w:rPr>
          <w:rFonts w:hint="eastAsia"/>
          <w:lang w:val="en-US" w:eastAsia="zh-CN"/>
        </w:rPr>
        <w:t>T</w:t>
      </w:r>
      <w:r>
        <w:rPr>
          <w:lang w:val="en-US" w:eastAsia="zh-CN"/>
        </w:rPr>
        <w:t>o simply the test setup, we propose to select the maximum K_offset value 2ms for ATG performance requirements.</w:t>
      </w:r>
    </w:p>
    <w:p w14:paraId="60B69E91" w14:textId="56392355" w:rsidR="00A20D89" w:rsidRPr="008A3803" w:rsidRDefault="00A20D89" w:rsidP="00A20D89">
      <w:pPr>
        <w:pStyle w:val="Proposal"/>
      </w:pPr>
      <w:r>
        <w:t>S</w:t>
      </w:r>
      <w:r w:rsidRPr="00D252B8">
        <w:t xml:space="preserve">elect the maximum K_offset value 2ms for ATG </w:t>
      </w:r>
      <w:r w:rsidR="005578E2">
        <w:t xml:space="preserve">UE </w:t>
      </w:r>
      <w:r w:rsidRPr="00D252B8">
        <w:t>performance requirements</w:t>
      </w:r>
      <w:r>
        <w:t>.</w:t>
      </w:r>
    </w:p>
    <w:p w14:paraId="66D1FF3B" w14:textId="080E6BF6" w:rsidR="00EA7CEC" w:rsidRPr="00A20D89" w:rsidRDefault="001E3A40" w:rsidP="001E3A40">
      <w:pPr>
        <w:pStyle w:val="2"/>
        <w:rPr>
          <w:lang w:val="en-US" w:eastAsia="zh-CN"/>
        </w:rPr>
      </w:pPr>
      <w:r>
        <w:rPr>
          <w:rFonts w:hint="eastAsia"/>
          <w:lang w:val="en-US" w:eastAsia="zh-CN"/>
        </w:rPr>
        <w:t>B</w:t>
      </w:r>
      <w:r>
        <w:rPr>
          <w:lang w:val="en-US" w:eastAsia="zh-CN"/>
        </w:rPr>
        <w:t>andwidth</w:t>
      </w:r>
    </w:p>
    <w:tbl>
      <w:tblPr>
        <w:tblStyle w:val="ae"/>
        <w:tblW w:w="0" w:type="auto"/>
        <w:tblLook w:val="04A0" w:firstRow="1" w:lastRow="0" w:firstColumn="1" w:lastColumn="0" w:noHBand="0" w:noVBand="1"/>
      </w:tblPr>
      <w:tblGrid>
        <w:gridCol w:w="10456"/>
      </w:tblGrid>
      <w:tr w:rsidR="001E3A40" w:rsidRPr="001E3A40" w14:paraId="008BB8F5" w14:textId="77777777" w:rsidTr="001E3A40">
        <w:tc>
          <w:tcPr>
            <w:tcW w:w="10456" w:type="dxa"/>
          </w:tcPr>
          <w:p w14:paraId="519B2122" w14:textId="77777777" w:rsidR="001E3A40" w:rsidRPr="001E3A40" w:rsidRDefault="001E3A40" w:rsidP="001E3A40">
            <w:pPr>
              <w:numPr>
                <w:ilvl w:val="0"/>
                <w:numId w:val="5"/>
              </w:numPr>
              <w:spacing w:after="120"/>
              <w:rPr>
                <w:i/>
                <w:lang w:val="en-US" w:eastAsia="zh-CN"/>
              </w:rPr>
            </w:pPr>
            <w:r w:rsidRPr="001E3A40">
              <w:rPr>
                <w:i/>
                <w:lang w:val="en-US" w:eastAsia="zh-CN"/>
              </w:rPr>
              <w:t>Apply 15kHz SCS for FDD, 30kHz SCS for TDD.</w:t>
            </w:r>
          </w:p>
          <w:p w14:paraId="4752EA06"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F</w:t>
            </w:r>
            <w:r w:rsidRPr="001E3A40">
              <w:rPr>
                <w:i/>
                <w:lang w:val="en-US" w:eastAsia="zh-CN"/>
              </w:rPr>
              <w:t>or FDD 15kHz</w:t>
            </w:r>
          </w:p>
          <w:p w14:paraId="52E8BC66" w14:textId="77777777" w:rsidR="001E3A40" w:rsidRPr="001E3A40" w:rsidRDefault="001E3A40" w:rsidP="001E3A40">
            <w:pPr>
              <w:numPr>
                <w:ilvl w:val="1"/>
                <w:numId w:val="5"/>
              </w:numPr>
              <w:spacing w:after="120"/>
              <w:rPr>
                <w:i/>
                <w:lang w:val="en-US" w:eastAsia="zh-CN"/>
              </w:rPr>
            </w:pPr>
            <w:r w:rsidRPr="001E3A40">
              <w:rPr>
                <w:rFonts w:hint="eastAsia"/>
                <w:i/>
                <w:lang w:val="en-US" w:eastAsia="zh-CN"/>
              </w:rPr>
              <w:t>1</w:t>
            </w:r>
            <w:r w:rsidRPr="001E3A40">
              <w:rPr>
                <w:i/>
                <w:lang w:val="en-US" w:eastAsia="zh-CN"/>
              </w:rPr>
              <w:t>0MHz</w:t>
            </w:r>
          </w:p>
          <w:p w14:paraId="45907530"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F</w:t>
            </w:r>
            <w:r w:rsidRPr="001E3A40">
              <w:rPr>
                <w:i/>
                <w:lang w:val="en-US" w:eastAsia="zh-CN"/>
              </w:rPr>
              <w:t xml:space="preserve">or TDD 30kHz, </w:t>
            </w:r>
          </w:p>
          <w:p w14:paraId="7FD74555" w14:textId="61AC6E79" w:rsidR="001E3A40" w:rsidRPr="001E3A40" w:rsidRDefault="001E3A40" w:rsidP="00FC0CD2">
            <w:pPr>
              <w:numPr>
                <w:ilvl w:val="1"/>
                <w:numId w:val="5"/>
              </w:numPr>
              <w:spacing w:after="120"/>
              <w:rPr>
                <w:i/>
                <w:lang w:val="en-US" w:eastAsia="zh-CN"/>
              </w:rPr>
            </w:pPr>
            <w:r w:rsidRPr="001E3A40">
              <w:rPr>
                <w:i/>
                <w:lang w:val="en-US" w:eastAsia="zh-CN"/>
              </w:rPr>
              <w:t>40MHz</w:t>
            </w:r>
            <w:r w:rsidRPr="001E3A40">
              <w:rPr>
                <w:rFonts w:hint="eastAsia"/>
                <w:i/>
                <w:lang w:val="en-US" w:eastAsia="zh-CN"/>
              </w:rPr>
              <w:t xml:space="preserve"> or </w:t>
            </w:r>
            <w:r w:rsidRPr="001E3A40">
              <w:rPr>
                <w:i/>
                <w:lang w:val="en-US" w:eastAsia="zh-CN"/>
              </w:rPr>
              <w:t>100MHz</w:t>
            </w:r>
          </w:p>
        </w:tc>
      </w:tr>
    </w:tbl>
    <w:p w14:paraId="72B67A28" w14:textId="47E9A867" w:rsidR="00EA7CEC" w:rsidRDefault="00EA7CEC" w:rsidP="00FC0CD2">
      <w:pPr>
        <w:rPr>
          <w:lang w:val="en-US" w:eastAsia="zh-CN"/>
        </w:rPr>
      </w:pPr>
    </w:p>
    <w:p w14:paraId="69EE45CA" w14:textId="756B9E12" w:rsidR="001E3A40" w:rsidRDefault="009F4C1C" w:rsidP="00FC0CD2">
      <w:pPr>
        <w:rPr>
          <w:lang w:val="en-US" w:eastAsia="zh-CN"/>
        </w:rPr>
      </w:pPr>
      <w:r>
        <w:rPr>
          <w:rFonts w:hint="eastAsia"/>
          <w:lang w:val="en-US" w:eastAsia="zh-CN"/>
        </w:rPr>
        <w:t>F</w:t>
      </w:r>
      <w:r>
        <w:rPr>
          <w:lang w:val="en-US" w:eastAsia="zh-CN"/>
        </w:rPr>
        <w:t>or the bandwidth for TDD</w:t>
      </w:r>
      <w:r w:rsidR="00F34ECE">
        <w:rPr>
          <w:lang w:val="en-US" w:eastAsia="zh-CN"/>
        </w:rPr>
        <w:t xml:space="preserve"> </w:t>
      </w:r>
      <w:r>
        <w:rPr>
          <w:lang w:val="en-US" w:eastAsia="zh-CN"/>
        </w:rPr>
        <w:t>30kHz</w:t>
      </w:r>
      <w:r w:rsidR="005578E2">
        <w:rPr>
          <w:lang w:val="en-US" w:eastAsia="zh-CN"/>
        </w:rPr>
        <w:t xml:space="preserve"> SCS</w:t>
      </w:r>
      <w:r>
        <w:rPr>
          <w:lang w:val="en-US" w:eastAsia="zh-CN"/>
        </w:rPr>
        <w:t xml:space="preserve">, </w:t>
      </w:r>
      <w:r w:rsidR="005578E2">
        <w:rPr>
          <w:lang w:val="en-US" w:eastAsia="zh-CN"/>
        </w:rPr>
        <w:t xml:space="preserve">we propose to </w:t>
      </w:r>
      <w:r w:rsidR="005578E2" w:rsidRPr="005578E2">
        <w:rPr>
          <w:lang w:val="en-US" w:eastAsia="zh-CN"/>
        </w:rPr>
        <w:t>select 40MHz for ATG UE performance requirements that is the same value as legacy UE performance requirements.</w:t>
      </w:r>
    </w:p>
    <w:p w14:paraId="3243A57A" w14:textId="4B47BD19" w:rsidR="005578E2" w:rsidRDefault="005578E2" w:rsidP="005578E2">
      <w:pPr>
        <w:pStyle w:val="Proposal"/>
      </w:pPr>
      <w:r>
        <w:t>S</w:t>
      </w:r>
      <w:r w:rsidRPr="005578E2">
        <w:t>elect 40MHz for TDD 30kHz SCS for ATG UE performance requirements.</w:t>
      </w:r>
    </w:p>
    <w:p w14:paraId="2161BDEA" w14:textId="60A513EC" w:rsidR="001E3A40" w:rsidRDefault="001E3A40" w:rsidP="001E3A40">
      <w:pPr>
        <w:pStyle w:val="2"/>
        <w:rPr>
          <w:lang w:val="en-US" w:eastAsia="zh-CN"/>
        </w:rPr>
      </w:pPr>
      <w:r w:rsidRPr="001E3A40">
        <w:rPr>
          <w:lang w:val="en-US" w:eastAsia="zh-CN"/>
        </w:rPr>
        <w:t>TDD pattern</w:t>
      </w:r>
    </w:p>
    <w:tbl>
      <w:tblPr>
        <w:tblStyle w:val="ae"/>
        <w:tblW w:w="0" w:type="auto"/>
        <w:tblLook w:val="04A0" w:firstRow="1" w:lastRow="0" w:firstColumn="1" w:lastColumn="0" w:noHBand="0" w:noVBand="1"/>
      </w:tblPr>
      <w:tblGrid>
        <w:gridCol w:w="10456"/>
      </w:tblGrid>
      <w:tr w:rsidR="001E3A40" w:rsidRPr="001E3A40" w14:paraId="72FAD0C1" w14:textId="77777777" w:rsidTr="001E3A40">
        <w:tc>
          <w:tcPr>
            <w:tcW w:w="10456" w:type="dxa"/>
          </w:tcPr>
          <w:p w14:paraId="39BF54DA" w14:textId="77777777" w:rsidR="001E3A40" w:rsidRPr="001E3A40" w:rsidRDefault="001E3A40" w:rsidP="001E3A40">
            <w:pPr>
              <w:numPr>
                <w:ilvl w:val="0"/>
                <w:numId w:val="5"/>
              </w:numPr>
              <w:spacing w:after="120"/>
              <w:rPr>
                <w:i/>
                <w:lang w:val="en-US" w:eastAsia="zh-CN"/>
              </w:rPr>
            </w:pPr>
            <w:r w:rsidRPr="001E3A40">
              <w:rPr>
                <w:i/>
                <w:lang w:val="en-US" w:eastAsia="zh-CN"/>
              </w:rPr>
              <w:t xml:space="preserve">Option 1: Define new TDD pattern </w:t>
            </w:r>
            <w:r w:rsidRPr="001E3A40">
              <w:rPr>
                <w:rFonts w:hint="eastAsia"/>
                <w:i/>
                <w:lang w:val="en-US" w:eastAsia="zh-CN"/>
              </w:rPr>
              <w:t xml:space="preserve">(e.g. </w:t>
            </w:r>
            <w:r w:rsidRPr="001E3A40">
              <w:rPr>
                <w:i/>
                <w:lang w:val="en-US" w:eastAsia="zh-CN"/>
              </w:rPr>
              <w:t>30D4S6U</w:t>
            </w:r>
            <w:r w:rsidRPr="001E3A40">
              <w:rPr>
                <w:rFonts w:hint="eastAsia"/>
                <w:i/>
                <w:lang w:val="en-US" w:eastAsia="zh-CN"/>
              </w:rPr>
              <w:t>, S=14G)</w:t>
            </w:r>
            <w:r w:rsidRPr="001E3A40">
              <w:rPr>
                <w:i/>
                <w:lang w:val="en-US" w:eastAsia="zh-CN"/>
              </w:rPr>
              <w:t xml:space="preserve"> which only applied for ATG scenario.</w:t>
            </w:r>
          </w:p>
          <w:p w14:paraId="16310E35" w14:textId="0AC3F504" w:rsidR="001E3A40" w:rsidRPr="001E3A40" w:rsidRDefault="001E3A40" w:rsidP="001E3A40">
            <w:pPr>
              <w:numPr>
                <w:ilvl w:val="0"/>
                <w:numId w:val="5"/>
              </w:numPr>
              <w:spacing w:after="120"/>
              <w:rPr>
                <w:i/>
                <w:lang w:val="en-US" w:eastAsia="zh-CN"/>
              </w:rPr>
            </w:pPr>
            <w:r w:rsidRPr="001E3A40">
              <w:rPr>
                <w:rFonts w:hint="eastAsia"/>
                <w:i/>
                <w:lang w:val="en-US" w:eastAsia="zh-CN"/>
              </w:rPr>
              <w:t xml:space="preserve">Option 2: </w:t>
            </w:r>
            <w:r w:rsidRPr="001E3A40">
              <w:rPr>
                <w:i/>
                <w:lang w:val="en-US" w:eastAsia="zh-CN"/>
              </w:rPr>
              <w:t>Do not consider TDD pattern impact in ATG demodulation requirements because it is not relevant to receiver demodulation algorithm.</w:t>
            </w:r>
            <w:r w:rsidRPr="001E3A40">
              <w:rPr>
                <w:rFonts w:hint="eastAsia"/>
                <w:i/>
                <w:lang w:val="en-US" w:eastAsia="zh-CN"/>
              </w:rPr>
              <w:t xml:space="preserve"> </w:t>
            </w:r>
          </w:p>
        </w:tc>
      </w:tr>
    </w:tbl>
    <w:p w14:paraId="37FA2A1D" w14:textId="77777777" w:rsidR="001E3A40" w:rsidRPr="001E3A40" w:rsidRDefault="001E3A40" w:rsidP="001E3A40">
      <w:pPr>
        <w:rPr>
          <w:lang w:val="en-US" w:eastAsia="zh-CN"/>
        </w:rPr>
      </w:pPr>
    </w:p>
    <w:p w14:paraId="31AEA252" w14:textId="6F514A88" w:rsidR="00AD10E3" w:rsidRDefault="00AD10E3" w:rsidP="00FC0CD2">
      <w:pPr>
        <w:rPr>
          <w:lang w:val="en-US" w:eastAsia="zh-CN"/>
        </w:rPr>
      </w:pPr>
      <w:r w:rsidRPr="00AD10E3">
        <w:rPr>
          <w:lang w:val="en-US" w:eastAsia="zh-CN"/>
        </w:rPr>
        <w:t>Currently, all TDD patterns defined in TS 38.101-4 are not feasible</w:t>
      </w:r>
      <w:r w:rsidRPr="00AD10E3">
        <w:t xml:space="preserve"> </w:t>
      </w:r>
      <w:r>
        <w:rPr>
          <w:lang w:val="en-US" w:eastAsia="zh-CN"/>
        </w:rPr>
        <w:t>since</w:t>
      </w:r>
      <w:r w:rsidRPr="00AD10E3">
        <w:rPr>
          <w:lang w:val="en-US" w:eastAsia="zh-CN"/>
        </w:rPr>
        <w:t xml:space="preserve"> that there is large timing difference </w:t>
      </w:r>
      <w:r>
        <w:rPr>
          <w:lang w:val="en-US" w:eastAsia="zh-CN"/>
        </w:rPr>
        <w:t>between</w:t>
      </w:r>
      <w:r w:rsidRPr="00AD10E3">
        <w:rPr>
          <w:lang w:val="en-US" w:eastAsia="zh-CN"/>
        </w:rPr>
        <w:t xml:space="preserve"> DL</w:t>
      </w:r>
      <w:r>
        <w:rPr>
          <w:lang w:val="en-US" w:eastAsia="zh-CN"/>
        </w:rPr>
        <w:t xml:space="preserve"> and </w:t>
      </w:r>
      <w:r w:rsidRPr="00AD10E3">
        <w:rPr>
          <w:lang w:val="en-US" w:eastAsia="zh-CN"/>
        </w:rPr>
        <w:t xml:space="preserve">UL </w:t>
      </w:r>
      <w:r>
        <w:rPr>
          <w:lang w:val="en-US" w:eastAsia="zh-CN"/>
        </w:rPr>
        <w:t xml:space="preserve">due to large </w:t>
      </w:r>
      <w:r w:rsidRPr="00AD10E3">
        <w:rPr>
          <w:lang w:val="en-US" w:eastAsia="zh-CN"/>
        </w:rPr>
        <w:t xml:space="preserve">BS-UE RTT delay in ATG scenario. </w:t>
      </w:r>
      <w:r w:rsidR="008657D2">
        <w:rPr>
          <w:lang w:val="en-US" w:eastAsia="zh-CN"/>
        </w:rPr>
        <w:t>In last meeting, a new TDD pattern is proposed by companies</w:t>
      </w:r>
      <w:r>
        <w:rPr>
          <w:lang w:val="en-US" w:eastAsia="zh-CN"/>
        </w:rPr>
        <w:t xml:space="preserve"> to set large guard period for the switching from DL to UL.</w:t>
      </w:r>
      <w:r>
        <w:rPr>
          <w:rFonts w:hint="eastAsia"/>
          <w:lang w:val="en-US" w:eastAsia="zh-CN"/>
        </w:rPr>
        <w:t xml:space="preserve"> </w:t>
      </w:r>
      <w:r>
        <w:rPr>
          <w:lang w:val="en-US" w:eastAsia="zh-CN"/>
        </w:rPr>
        <w:t xml:space="preserve">From our understanding, </w:t>
      </w:r>
      <w:r w:rsidR="00F4445F">
        <w:rPr>
          <w:lang w:val="en-US" w:eastAsia="zh-CN"/>
        </w:rPr>
        <w:t>if n</w:t>
      </w:r>
      <w:r w:rsidR="00F4445F" w:rsidRPr="00F4445F">
        <w:rPr>
          <w:lang w:val="en-US" w:eastAsia="zh-CN"/>
        </w:rPr>
        <w:t xml:space="preserve">ew dedicated TDD pattern </w:t>
      </w:r>
      <w:r w:rsidR="00F4445F">
        <w:rPr>
          <w:lang w:val="en-US" w:eastAsia="zh-CN"/>
        </w:rPr>
        <w:t>is</w:t>
      </w:r>
      <w:r w:rsidR="00F4445F" w:rsidRPr="00F4445F">
        <w:rPr>
          <w:lang w:val="en-US" w:eastAsia="zh-CN"/>
        </w:rPr>
        <w:t xml:space="preserve"> considered</w:t>
      </w:r>
      <w:r w:rsidR="00F4445F">
        <w:rPr>
          <w:lang w:val="en-US" w:eastAsia="zh-CN"/>
        </w:rPr>
        <w:t>, note should be added in the specification that this is pattern is</w:t>
      </w:r>
      <w:r w:rsidR="00F4445F" w:rsidRPr="00F4445F">
        <w:rPr>
          <w:lang w:val="en-US" w:eastAsia="zh-CN"/>
        </w:rPr>
        <w:t xml:space="preserve"> for ATG scenario used only.</w:t>
      </w:r>
    </w:p>
    <w:p w14:paraId="2E609B70" w14:textId="1D31BDE1" w:rsidR="000D582D" w:rsidRDefault="00F4445F" w:rsidP="000D582D">
      <w:pPr>
        <w:pStyle w:val="Proposal"/>
      </w:pPr>
      <w:r>
        <w:t>I</w:t>
      </w:r>
      <w:r w:rsidRPr="00F4445F">
        <w:t>f new dedicated TDD pattern is considered, note should be added in the specification that this is pattern is for ATG scenario used only.</w:t>
      </w:r>
    </w:p>
    <w:p w14:paraId="53AA6DE4" w14:textId="1F9FDA7C" w:rsidR="001E3A40" w:rsidRDefault="001E3A40" w:rsidP="001E3A40">
      <w:pPr>
        <w:pStyle w:val="2"/>
        <w:rPr>
          <w:lang w:val="en-US" w:eastAsia="zh-CN"/>
        </w:rPr>
      </w:pPr>
      <w:r w:rsidRPr="001E3A40">
        <w:rPr>
          <w:lang w:val="en-US" w:eastAsia="zh-CN"/>
        </w:rPr>
        <w:t>Antenna Configuration</w:t>
      </w:r>
    </w:p>
    <w:tbl>
      <w:tblPr>
        <w:tblStyle w:val="ae"/>
        <w:tblW w:w="0" w:type="auto"/>
        <w:tblLook w:val="04A0" w:firstRow="1" w:lastRow="0" w:firstColumn="1" w:lastColumn="0" w:noHBand="0" w:noVBand="1"/>
      </w:tblPr>
      <w:tblGrid>
        <w:gridCol w:w="10456"/>
      </w:tblGrid>
      <w:tr w:rsidR="001E3A40" w:rsidRPr="001E3A40" w14:paraId="0B7E5D51" w14:textId="77777777" w:rsidTr="001E3A40">
        <w:tc>
          <w:tcPr>
            <w:tcW w:w="10456" w:type="dxa"/>
          </w:tcPr>
          <w:p w14:paraId="16C3252D" w14:textId="77777777" w:rsidR="001E3A40" w:rsidRPr="001E3A40" w:rsidRDefault="001E3A40" w:rsidP="001E3A40">
            <w:pPr>
              <w:numPr>
                <w:ilvl w:val="0"/>
                <w:numId w:val="5"/>
              </w:numPr>
              <w:spacing w:after="120"/>
              <w:rPr>
                <w:i/>
                <w:lang w:val="en-US" w:eastAsia="zh-CN"/>
              </w:rPr>
            </w:pPr>
            <w:r w:rsidRPr="001E3A40">
              <w:rPr>
                <w:i/>
                <w:lang w:val="en-US" w:eastAsia="zh-CN"/>
              </w:rPr>
              <w:t xml:space="preserve">Option 1: Use antenna configuration 2x2/2x4 for FDD and 2x4 only for TDD. </w:t>
            </w:r>
          </w:p>
          <w:p w14:paraId="5775DB8E"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 xml:space="preserve">Option 2: </w:t>
            </w:r>
            <w:r w:rsidRPr="001E3A40">
              <w:rPr>
                <w:i/>
                <w:lang w:val="en-US" w:eastAsia="zh-CN"/>
              </w:rPr>
              <w:t>use 2Tx as baseline, and cover 2Rx and 4Rx.</w:t>
            </w:r>
          </w:p>
          <w:p w14:paraId="2C6DCDD6" w14:textId="2B2D400C" w:rsidR="001E3A40" w:rsidRPr="001E3A40" w:rsidRDefault="001E3A40" w:rsidP="001E3A40">
            <w:pPr>
              <w:numPr>
                <w:ilvl w:val="0"/>
                <w:numId w:val="5"/>
              </w:numPr>
              <w:spacing w:after="120"/>
              <w:rPr>
                <w:i/>
                <w:lang w:val="en-US" w:eastAsia="zh-CN"/>
              </w:rPr>
            </w:pPr>
            <w:r w:rsidRPr="001E3A40">
              <w:rPr>
                <w:rFonts w:hint="eastAsia"/>
                <w:i/>
                <w:lang w:val="en-US" w:eastAsia="zh-CN"/>
              </w:rPr>
              <w:t xml:space="preserve">Option 3: </w:t>
            </w:r>
            <w:r w:rsidRPr="001E3A40">
              <w:rPr>
                <w:i/>
                <w:lang w:val="en-US" w:eastAsia="zh-CN"/>
              </w:rPr>
              <w:t>Use same antenna configurations as legacy UE for ATG demodulation requirements, e.g., 1/2 Tx and 1/2/4 Rx for 1-C.</w:t>
            </w:r>
          </w:p>
        </w:tc>
      </w:tr>
    </w:tbl>
    <w:p w14:paraId="528D8769" w14:textId="1A90A21C" w:rsidR="001E3A40" w:rsidRDefault="001E3A40" w:rsidP="001E3A40">
      <w:pPr>
        <w:rPr>
          <w:lang w:val="en-US" w:eastAsia="zh-CN"/>
        </w:rPr>
      </w:pPr>
    </w:p>
    <w:p w14:paraId="39A7D348" w14:textId="58C0CED5" w:rsidR="001E3A40" w:rsidRDefault="00024687" w:rsidP="001E3A40">
      <w:pPr>
        <w:rPr>
          <w:lang w:val="en-US" w:eastAsia="zh-CN"/>
        </w:rPr>
      </w:pPr>
      <w:r>
        <w:rPr>
          <w:rFonts w:hint="eastAsia"/>
          <w:lang w:val="en-US" w:eastAsia="zh-CN"/>
        </w:rPr>
        <w:lastRenderedPageBreak/>
        <w:t>A</w:t>
      </w:r>
      <w:r>
        <w:rPr>
          <w:lang w:val="en-US" w:eastAsia="zh-CN"/>
        </w:rPr>
        <w:t xml:space="preserve">s per agreement achieved in RF session in last meeting, 4Rx is not mandate for ATG UE in the legacy 4Rx-mandated-bands. </w:t>
      </w:r>
      <w:r>
        <w:rPr>
          <w:rFonts w:hint="eastAsia"/>
          <w:lang w:val="en-US" w:eastAsia="zh-CN"/>
        </w:rPr>
        <w:t>S</w:t>
      </w:r>
      <w:r>
        <w:rPr>
          <w:lang w:val="en-US" w:eastAsia="zh-CN"/>
        </w:rPr>
        <w:t xml:space="preserve">o we propose to use the </w:t>
      </w:r>
      <w:r w:rsidRPr="00024687">
        <w:rPr>
          <w:lang w:val="en-US" w:eastAsia="zh-CN"/>
        </w:rPr>
        <w:t xml:space="preserve">same antenna configurations as legacy UE for ATG </w:t>
      </w:r>
      <w:r w:rsidR="009F4C1C">
        <w:rPr>
          <w:lang w:val="en-US" w:eastAsia="zh-CN"/>
        </w:rPr>
        <w:t xml:space="preserve">UE </w:t>
      </w:r>
      <w:r w:rsidRPr="00024687">
        <w:rPr>
          <w:lang w:val="en-US" w:eastAsia="zh-CN"/>
        </w:rPr>
        <w:t>demodulation requirements</w:t>
      </w:r>
      <w:r>
        <w:rPr>
          <w:lang w:val="en-US" w:eastAsia="zh-CN"/>
        </w:rPr>
        <w:t>, i.e. 2x2</w:t>
      </w:r>
      <w:r w:rsidR="00F944A1">
        <w:rPr>
          <w:lang w:val="en-US" w:eastAsia="zh-CN"/>
        </w:rPr>
        <w:t>,</w:t>
      </w:r>
      <w:r>
        <w:rPr>
          <w:lang w:val="en-US" w:eastAsia="zh-CN"/>
        </w:rPr>
        <w:t xml:space="preserve"> 2x4 </w:t>
      </w:r>
      <w:r w:rsidR="00F944A1">
        <w:rPr>
          <w:lang w:val="en-US" w:eastAsia="zh-CN"/>
        </w:rPr>
        <w:t xml:space="preserve">and 4x4 </w:t>
      </w:r>
      <w:r>
        <w:rPr>
          <w:lang w:val="en-US" w:eastAsia="zh-CN"/>
        </w:rPr>
        <w:t xml:space="preserve">for both FDD and TDD. We do not think 1Tx or 1Rx cases </w:t>
      </w:r>
      <w:r w:rsidR="009F4C1C">
        <w:rPr>
          <w:lang w:val="en-US" w:eastAsia="zh-CN"/>
        </w:rPr>
        <w:t xml:space="preserve">should be considered </w:t>
      </w:r>
      <w:r w:rsidR="009F4C1C" w:rsidRPr="009F4C1C">
        <w:rPr>
          <w:lang w:val="en-US" w:eastAsia="zh-CN"/>
        </w:rPr>
        <w:t xml:space="preserve">for ATG </w:t>
      </w:r>
      <w:r w:rsidR="00501A89">
        <w:rPr>
          <w:lang w:val="en-US" w:eastAsia="zh-CN"/>
        </w:rPr>
        <w:t xml:space="preserve">UE </w:t>
      </w:r>
      <w:r w:rsidR="009F4C1C" w:rsidRPr="009F4C1C">
        <w:rPr>
          <w:lang w:val="en-US" w:eastAsia="zh-CN"/>
        </w:rPr>
        <w:t>demodulation requirements</w:t>
      </w:r>
      <w:r>
        <w:rPr>
          <w:lang w:val="en-US" w:eastAsia="zh-CN"/>
        </w:rPr>
        <w:t>.</w:t>
      </w:r>
    </w:p>
    <w:p w14:paraId="458B1ADD" w14:textId="2E8B6DB1" w:rsidR="009F4C1C" w:rsidRDefault="009F4C1C" w:rsidP="009F4C1C">
      <w:pPr>
        <w:pStyle w:val="Proposal"/>
      </w:pPr>
      <w:r>
        <w:rPr>
          <w:rFonts w:hint="eastAsia"/>
        </w:rPr>
        <w:t>C</w:t>
      </w:r>
      <w:r>
        <w:t xml:space="preserve">onsider </w:t>
      </w:r>
      <w:r w:rsidRPr="009F4C1C">
        <w:t>2x2</w:t>
      </w:r>
      <w:r w:rsidR="00A13113">
        <w:t xml:space="preserve">, </w:t>
      </w:r>
      <w:r w:rsidRPr="009F4C1C">
        <w:t xml:space="preserve">2x4 </w:t>
      </w:r>
      <w:r w:rsidR="00A13113">
        <w:t xml:space="preserve">and 4x4 </w:t>
      </w:r>
      <w:r w:rsidRPr="009F4C1C">
        <w:t>for both FDD and TDD</w:t>
      </w:r>
      <w:r>
        <w:t xml:space="preserve"> for </w:t>
      </w:r>
      <w:r w:rsidRPr="009F4C1C">
        <w:t>ATG UE demodulation requirements</w:t>
      </w:r>
      <w:r>
        <w:t>.</w:t>
      </w:r>
    </w:p>
    <w:p w14:paraId="09F1F391" w14:textId="42BF4765" w:rsidR="001E3A40" w:rsidRDefault="001E3A40" w:rsidP="001E3A40">
      <w:pPr>
        <w:pStyle w:val="2"/>
        <w:rPr>
          <w:lang w:val="en-US" w:eastAsia="zh-CN"/>
        </w:rPr>
      </w:pPr>
      <w:r>
        <w:rPr>
          <w:lang w:val="en-US" w:eastAsia="zh-CN"/>
        </w:rPr>
        <w:t>MCS&amp;rank</w:t>
      </w:r>
    </w:p>
    <w:tbl>
      <w:tblPr>
        <w:tblStyle w:val="ae"/>
        <w:tblW w:w="0" w:type="auto"/>
        <w:tblLook w:val="04A0" w:firstRow="1" w:lastRow="0" w:firstColumn="1" w:lastColumn="0" w:noHBand="0" w:noVBand="1"/>
      </w:tblPr>
      <w:tblGrid>
        <w:gridCol w:w="10456"/>
      </w:tblGrid>
      <w:tr w:rsidR="001E3A40" w:rsidRPr="001E3A40" w14:paraId="4EA9BE83" w14:textId="77777777" w:rsidTr="001E3A40">
        <w:tc>
          <w:tcPr>
            <w:tcW w:w="10456" w:type="dxa"/>
          </w:tcPr>
          <w:p w14:paraId="34F5F4D3" w14:textId="77777777" w:rsidR="001E3A40" w:rsidRPr="001E3A40" w:rsidRDefault="001E3A40" w:rsidP="001E3A40">
            <w:pPr>
              <w:numPr>
                <w:ilvl w:val="0"/>
                <w:numId w:val="5"/>
              </w:numPr>
              <w:spacing w:after="120"/>
              <w:rPr>
                <w:i/>
                <w:lang w:val="en-US" w:eastAsia="zh-CN"/>
              </w:rPr>
            </w:pPr>
            <w:r w:rsidRPr="001E3A40">
              <w:rPr>
                <w:i/>
                <w:lang w:val="en-US" w:eastAsia="zh-CN"/>
              </w:rPr>
              <w:t xml:space="preserve">Option 1: For MCS and rank should be selected based on link budget evaluation after the impact of the TN network to the ATG network is clear. </w:t>
            </w:r>
          </w:p>
          <w:p w14:paraId="5ABE22B6"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 xml:space="preserve">Option 2: for rank, </w:t>
            </w:r>
            <w:r w:rsidRPr="001E3A40">
              <w:rPr>
                <w:i/>
                <w:lang w:val="en-US" w:eastAsia="zh-CN"/>
              </w:rPr>
              <w:t>both rank 1 and rank 2</w:t>
            </w:r>
            <w:r w:rsidRPr="001E3A40">
              <w:rPr>
                <w:rFonts w:hint="eastAsia"/>
                <w:i/>
                <w:lang w:val="en-US" w:eastAsia="zh-CN"/>
              </w:rPr>
              <w:t xml:space="preserve">; for MCS, </w:t>
            </w:r>
            <w:r w:rsidRPr="001E3A40">
              <w:rPr>
                <w:i/>
                <w:lang w:val="en-US" w:eastAsia="zh-CN"/>
              </w:rPr>
              <w:t>16QAM, 64QAM and 256QAM</w:t>
            </w:r>
          </w:p>
          <w:p w14:paraId="2BF770A9" w14:textId="396B563B" w:rsidR="001E3A40" w:rsidRPr="001E3A40" w:rsidRDefault="001E3A40" w:rsidP="001E3A40">
            <w:pPr>
              <w:numPr>
                <w:ilvl w:val="0"/>
                <w:numId w:val="5"/>
              </w:numPr>
              <w:spacing w:after="120"/>
              <w:rPr>
                <w:i/>
                <w:lang w:val="en-US" w:eastAsia="zh-CN"/>
              </w:rPr>
            </w:pPr>
            <w:r w:rsidRPr="001E3A40">
              <w:rPr>
                <w:rFonts w:hint="eastAsia"/>
                <w:i/>
                <w:lang w:val="en-US" w:eastAsia="zh-CN"/>
              </w:rPr>
              <w:t>Option 3: M</w:t>
            </w:r>
            <w:r w:rsidRPr="001E3A40">
              <w:rPr>
                <w:i/>
                <w:lang w:val="en-US" w:eastAsia="zh-CN"/>
              </w:rPr>
              <w:t>ore robust MCS scheme than HST UE can be considered for PDSCH/PUSCH performance requirements.</w:t>
            </w:r>
          </w:p>
        </w:tc>
      </w:tr>
    </w:tbl>
    <w:p w14:paraId="564A47EF" w14:textId="7AB68CD0" w:rsidR="001E3A40" w:rsidRDefault="001E3A40" w:rsidP="001E3A40">
      <w:pPr>
        <w:rPr>
          <w:lang w:val="en-US" w:eastAsia="zh-CN"/>
        </w:rPr>
      </w:pPr>
    </w:p>
    <w:p w14:paraId="6AFE9DD0" w14:textId="13E6E285" w:rsidR="00106E7B" w:rsidRDefault="00106E7B" w:rsidP="001E3A40">
      <w:pPr>
        <w:rPr>
          <w:lang w:val="en-US" w:eastAsia="zh-CN"/>
        </w:rPr>
      </w:pPr>
      <w:r>
        <w:rPr>
          <w:rFonts w:hint="eastAsia"/>
          <w:lang w:val="en-US" w:eastAsia="zh-CN"/>
        </w:rPr>
        <w:t>B</w:t>
      </w:r>
      <w:r>
        <w:rPr>
          <w:lang w:val="en-US" w:eastAsia="zh-CN"/>
        </w:rPr>
        <w:t xml:space="preserve">ased on initial </w:t>
      </w:r>
      <w:r w:rsidR="002F7931">
        <w:rPr>
          <w:lang w:val="en-US" w:eastAsia="zh-CN"/>
        </w:rPr>
        <w:t>co-existence evaluation results collected in RF side, it seems that it is enough sufficient for the 64QAM with rank</w:t>
      </w:r>
      <w:r w:rsidR="00E43A90">
        <w:rPr>
          <w:lang w:val="en-US" w:eastAsia="zh-CN"/>
        </w:rPr>
        <w:t xml:space="preserve"> </w:t>
      </w:r>
      <w:r w:rsidR="002F7931">
        <w:rPr>
          <w:lang w:val="en-US" w:eastAsia="zh-CN"/>
        </w:rPr>
        <w:t xml:space="preserve">2 and a bit challenge for the 256QAM. So we propose to </w:t>
      </w:r>
      <w:r w:rsidR="00666B00">
        <w:rPr>
          <w:lang w:val="en-US" w:eastAsia="zh-CN"/>
        </w:rPr>
        <w:t xml:space="preserve">not consider 256QAM for </w:t>
      </w:r>
      <w:r w:rsidR="00666B00" w:rsidRPr="00666B00">
        <w:rPr>
          <w:lang w:val="en-US" w:eastAsia="zh-CN"/>
        </w:rPr>
        <w:t>ATG UE demodulation requirements</w:t>
      </w:r>
      <w:r w:rsidR="002F7931" w:rsidRPr="002F7931">
        <w:rPr>
          <w:lang w:val="en-US" w:eastAsia="zh-CN"/>
        </w:rPr>
        <w:t>.</w:t>
      </w:r>
    </w:p>
    <w:p w14:paraId="1CA96D8E" w14:textId="710E5C71" w:rsidR="002F7931" w:rsidRDefault="00666B00" w:rsidP="002F7931">
      <w:pPr>
        <w:pStyle w:val="Proposal"/>
      </w:pPr>
      <w:r>
        <w:t xml:space="preserve">Do </w:t>
      </w:r>
      <w:r w:rsidRPr="00666B00">
        <w:t>not consider 256QAM for ATG UE demodulation requirements</w:t>
      </w:r>
      <w:r w:rsidR="002F7931" w:rsidRPr="002F7931">
        <w:t>.</w:t>
      </w:r>
    </w:p>
    <w:p w14:paraId="35E80672" w14:textId="41CA549D" w:rsidR="001E3A40" w:rsidRDefault="001E3A40" w:rsidP="001E3A40">
      <w:pPr>
        <w:pStyle w:val="2"/>
        <w:rPr>
          <w:lang w:val="en-US" w:eastAsia="zh-CN"/>
        </w:rPr>
      </w:pPr>
      <w:r w:rsidRPr="001E3A40">
        <w:rPr>
          <w:lang w:val="en-US" w:eastAsia="zh-CN"/>
        </w:rPr>
        <w:t>DMRS</w:t>
      </w:r>
    </w:p>
    <w:tbl>
      <w:tblPr>
        <w:tblStyle w:val="ae"/>
        <w:tblW w:w="0" w:type="auto"/>
        <w:tblLook w:val="04A0" w:firstRow="1" w:lastRow="0" w:firstColumn="1" w:lastColumn="0" w:noHBand="0" w:noVBand="1"/>
      </w:tblPr>
      <w:tblGrid>
        <w:gridCol w:w="10456"/>
      </w:tblGrid>
      <w:tr w:rsidR="001E3A40" w:rsidRPr="001E3A40" w14:paraId="7B33F21F" w14:textId="77777777" w:rsidTr="001E3A40">
        <w:tc>
          <w:tcPr>
            <w:tcW w:w="10456" w:type="dxa"/>
          </w:tcPr>
          <w:p w14:paraId="13A3DC7C"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O</w:t>
            </w:r>
            <w:r w:rsidRPr="001E3A40">
              <w:rPr>
                <w:i/>
                <w:lang w:val="en-US" w:eastAsia="zh-CN"/>
              </w:rPr>
              <w:t>ption 1: 1 front loaded DMRS</w:t>
            </w:r>
          </w:p>
          <w:p w14:paraId="15BC7DD4" w14:textId="5DA832C1" w:rsidR="001E3A40" w:rsidRPr="001E3A40" w:rsidRDefault="001E3A40" w:rsidP="001E3A40">
            <w:pPr>
              <w:numPr>
                <w:ilvl w:val="0"/>
                <w:numId w:val="5"/>
              </w:numPr>
              <w:spacing w:after="120"/>
              <w:rPr>
                <w:i/>
                <w:lang w:val="en-US" w:eastAsia="zh-CN"/>
              </w:rPr>
            </w:pPr>
            <w:r w:rsidRPr="001E3A40">
              <w:rPr>
                <w:rFonts w:hint="eastAsia"/>
                <w:i/>
                <w:lang w:val="en-US" w:eastAsia="zh-CN"/>
              </w:rPr>
              <w:t>O</w:t>
            </w:r>
            <w:r w:rsidRPr="001E3A40">
              <w:rPr>
                <w:i/>
                <w:lang w:val="en-US" w:eastAsia="zh-CN"/>
              </w:rPr>
              <w:t>ption 2: 1 front loaded DMRS + 1 additional DMRS</w:t>
            </w:r>
          </w:p>
        </w:tc>
      </w:tr>
    </w:tbl>
    <w:p w14:paraId="0A1CD91D" w14:textId="0FC1EB5B" w:rsidR="001E3A40" w:rsidRDefault="001E3A40" w:rsidP="001E3A40">
      <w:pPr>
        <w:rPr>
          <w:lang w:val="en-US" w:eastAsia="zh-CN"/>
        </w:rPr>
      </w:pPr>
    </w:p>
    <w:p w14:paraId="1D6EAFEB" w14:textId="5572F7B8" w:rsidR="001E3A40" w:rsidRDefault="008816BE" w:rsidP="001E3A40">
      <w:pPr>
        <w:rPr>
          <w:lang w:val="en-US" w:eastAsia="zh-CN"/>
        </w:rPr>
      </w:pPr>
      <w:r>
        <w:rPr>
          <w:lang w:val="en-US" w:eastAsia="zh-CN"/>
        </w:rPr>
        <w:t>In last meeting</w:t>
      </w:r>
      <w:r w:rsidR="001E3A40">
        <w:rPr>
          <w:lang w:val="en-US" w:eastAsia="zh-CN"/>
        </w:rPr>
        <w:t xml:space="preserve"> we have already achieve </w:t>
      </w:r>
      <w:r>
        <w:rPr>
          <w:lang w:val="en-US" w:eastAsia="zh-CN"/>
        </w:rPr>
        <w:t xml:space="preserve">the </w:t>
      </w:r>
      <w:r w:rsidR="001E3A40">
        <w:rPr>
          <w:lang w:val="en-US" w:eastAsia="zh-CN"/>
        </w:rPr>
        <w:t xml:space="preserve">agreement that </w:t>
      </w:r>
      <w:r w:rsidRPr="008816BE">
        <w:rPr>
          <w:lang w:val="en-US" w:eastAsia="zh-CN"/>
        </w:rPr>
        <w:t xml:space="preserve">ATG UE compensation on DL frequency shift </w:t>
      </w:r>
      <w:r>
        <w:rPr>
          <w:lang w:val="en-US" w:eastAsia="zh-CN"/>
        </w:rPr>
        <w:t>is</w:t>
      </w:r>
      <w:r w:rsidRPr="008816BE">
        <w:rPr>
          <w:lang w:val="en-US" w:eastAsia="zh-CN"/>
        </w:rPr>
        <w:t xml:space="preserve"> baseline</w:t>
      </w:r>
      <w:r>
        <w:rPr>
          <w:lang w:val="en-US" w:eastAsia="zh-CN"/>
        </w:rPr>
        <w:t xml:space="preserve"> assumption, there is not </w:t>
      </w:r>
      <w:r w:rsidR="005578E2">
        <w:rPr>
          <w:lang w:val="en-US" w:eastAsia="zh-CN"/>
        </w:rPr>
        <w:t>a</w:t>
      </w:r>
      <w:r>
        <w:rPr>
          <w:lang w:val="en-US" w:eastAsia="zh-CN"/>
        </w:rPr>
        <w:t xml:space="preserve"> large Doppler shift value can be observed by ATG UE, so it is not necessary to configure more than 1 additional DMRS</w:t>
      </w:r>
      <w:r w:rsidRPr="008816BE">
        <w:rPr>
          <w:lang w:val="en-US" w:eastAsia="zh-CN"/>
        </w:rPr>
        <w:t>.</w:t>
      </w:r>
      <w:r>
        <w:rPr>
          <w:lang w:val="en-US" w:eastAsia="zh-CN"/>
        </w:rPr>
        <w:t xml:space="preserve"> Considering that there is still residual frequency error 0.1ppm of the carrier frequency need to be compensated, 1 additional DMRS is necessary to be configured.</w:t>
      </w:r>
    </w:p>
    <w:p w14:paraId="5BFF361A" w14:textId="57B47A14" w:rsidR="001E3A40" w:rsidRDefault="008816BE" w:rsidP="008816BE">
      <w:pPr>
        <w:pStyle w:val="Proposal"/>
      </w:pPr>
      <w:r>
        <w:t>Configure DMRS 1+1 for ATG UE demodulation requirements.</w:t>
      </w:r>
    </w:p>
    <w:p w14:paraId="7D5D34A3" w14:textId="19B5D96C" w:rsidR="001E3A40" w:rsidRDefault="001E3A40" w:rsidP="001E3A40">
      <w:pPr>
        <w:pStyle w:val="2"/>
        <w:rPr>
          <w:lang w:val="en-US" w:eastAsia="zh-CN"/>
        </w:rPr>
      </w:pPr>
      <w:r w:rsidRPr="001E3A40">
        <w:rPr>
          <w:lang w:val="en-US" w:eastAsia="zh-CN"/>
        </w:rPr>
        <w:t>Switching point</w:t>
      </w:r>
    </w:p>
    <w:tbl>
      <w:tblPr>
        <w:tblStyle w:val="ae"/>
        <w:tblW w:w="0" w:type="auto"/>
        <w:tblLook w:val="04A0" w:firstRow="1" w:lastRow="0" w:firstColumn="1" w:lastColumn="0" w:noHBand="0" w:noVBand="1"/>
      </w:tblPr>
      <w:tblGrid>
        <w:gridCol w:w="10456"/>
      </w:tblGrid>
      <w:tr w:rsidR="001E3A40" w:rsidRPr="001E3A40" w14:paraId="32CA2F7E" w14:textId="77777777" w:rsidTr="001E3A40">
        <w:tc>
          <w:tcPr>
            <w:tcW w:w="10456" w:type="dxa"/>
          </w:tcPr>
          <w:p w14:paraId="5E5660BE" w14:textId="442DB953" w:rsidR="001E3A40" w:rsidRPr="001E3A40" w:rsidRDefault="001E3A40" w:rsidP="001E3A40">
            <w:pPr>
              <w:numPr>
                <w:ilvl w:val="0"/>
                <w:numId w:val="5"/>
              </w:numPr>
              <w:spacing w:after="120"/>
              <w:rPr>
                <w:i/>
                <w:lang w:val="en-US" w:eastAsia="zh-CN"/>
              </w:rPr>
            </w:pPr>
            <w:r w:rsidRPr="001E3A40">
              <w:rPr>
                <w:i/>
                <w:lang w:val="en-US" w:eastAsia="zh-CN"/>
              </w:rPr>
              <w:t xml:space="preserve">Option 1: To take the switching point concluded in coexistence study as a starting point for demodulation evaluation for demodulation requirement. </w:t>
            </w:r>
          </w:p>
        </w:tc>
      </w:tr>
    </w:tbl>
    <w:p w14:paraId="7062BB74" w14:textId="77777777" w:rsidR="001E3A40" w:rsidRPr="001E3A40" w:rsidRDefault="001E3A40" w:rsidP="001E3A40">
      <w:pPr>
        <w:rPr>
          <w:lang w:val="en-US" w:eastAsia="zh-CN"/>
        </w:rPr>
      </w:pPr>
    </w:p>
    <w:p w14:paraId="0F4189F3" w14:textId="643CA534" w:rsidR="001E3A40" w:rsidRDefault="008C46D5" w:rsidP="001E3A40">
      <w:pPr>
        <w:rPr>
          <w:lang w:val="en-US" w:eastAsia="zh-CN"/>
        </w:rPr>
      </w:pPr>
      <w:r>
        <w:rPr>
          <w:lang w:val="en-US" w:eastAsia="zh-CN"/>
        </w:rPr>
        <w:t>Currently i</w:t>
      </w:r>
      <w:r w:rsidR="008816BE">
        <w:rPr>
          <w:lang w:val="en-US" w:eastAsia="zh-CN"/>
        </w:rPr>
        <w:t xml:space="preserve">t is not clear </w:t>
      </w:r>
      <w:r>
        <w:rPr>
          <w:lang w:val="en-US" w:eastAsia="zh-CN"/>
        </w:rPr>
        <w:t xml:space="preserve">for the effect of </w:t>
      </w:r>
      <w:r w:rsidR="008816BE">
        <w:rPr>
          <w:lang w:val="en-US" w:eastAsia="zh-CN"/>
        </w:rPr>
        <w:t xml:space="preserve">the </w:t>
      </w:r>
      <w:r w:rsidR="008816BE" w:rsidRPr="008816BE">
        <w:rPr>
          <w:lang w:val="en-US" w:eastAsia="zh-CN"/>
        </w:rPr>
        <w:t>switching point</w:t>
      </w:r>
      <w:r w:rsidR="008816BE">
        <w:rPr>
          <w:lang w:val="en-US" w:eastAsia="zh-CN"/>
        </w:rPr>
        <w:t xml:space="preserve"> </w:t>
      </w:r>
      <w:r>
        <w:rPr>
          <w:lang w:val="en-US" w:eastAsia="zh-CN"/>
        </w:rPr>
        <w:t>on ATG UE</w:t>
      </w:r>
      <w:r w:rsidR="008816BE">
        <w:rPr>
          <w:lang w:val="en-US" w:eastAsia="zh-CN"/>
        </w:rPr>
        <w:t xml:space="preserve"> </w:t>
      </w:r>
      <w:r w:rsidR="00AA1E8F">
        <w:rPr>
          <w:lang w:val="en-US" w:eastAsia="zh-CN"/>
        </w:rPr>
        <w:t xml:space="preserve">demodulation </w:t>
      </w:r>
      <w:r>
        <w:rPr>
          <w:lang w:val="en-US" w:eastAsia="zh-CN"/>
        </w:rPr>
        <w:t>requirement</w:t>
      </w:r>
      <w:r w:rsidR="008816BE">
        <w:rPr>
          <w:lang w:val="en-US" w:eastAsia="zh-CN"/>
        </w:rPr>
        <w:t>.</w:t>
      </w:r>
      <w:r>
        <w:rPr>
          <w:lang w:val="en-US" w:eastAsia="zh-CN"/>
        </w:rPr>
        <w:t xml:space="preserve"> At the switching point, cell </w:t>
      </w:r>
      <w:r w:rsidRPr="008C46D5">
        <w:rPr>
          <w:lang w:val="en-US" w:eastAsia="zh-CN"/>
        </w:rPr>
        <w:t>handover procedure</w:t>
      </w:r>
      <w:r>
        <w:rPr>
          <w:lang w:val="en-US" w:eastAsia="zh-CN"/>
        </w:rPr>
        <w:t xml:space="preserve"> should be followed and it belongs to RRM part</w:t>
      </w:r>
      <w:r w:rsidR="00B34787">
        <w:rPr>
          <w:lang w:val="en-US" w:eastAsia="zh-CN"/>
        </w:rPr>
        <w:t xml:space="preserve"> discussion</w:t>
      </w:r>
      <w:r>
        <w:rPr>
          <w:lang w:val="en-US" w:eastAsia="zh-CN"/>
        </w:rPr>
        <w:t xml:space="preserve">. </w:t>
      </w:r>
      <w:r w:rsidR="00B34787">
        <w:rPr>
          <w:lang w:val="en-US" w:eastAsia="zh-CN"/>
        </w:rPr>
        <w:t>Also</w:t>
      </w:r>
      <w:r>
        <w:rPr>
          <w:lang w:val="en-US" w:eastAsia="zh-CN"/>
        </w:rPr>
        <w:t>, there is no any limitation for the maximum “Doppler</w:t>
      </w:r>
      <w:r w:rsidR="00B34787">
        <w:rPr>
          <w:lang w:val="en-US" w:eastAsia="zh-CN"/>
        </w:rPr>
        <w:t>/timing</w:t>
      </w:r>
      <w:r>
        <w:rPr>
          <w:lang w:val="en-US" w:eastAsia="zh-CN"/>
        </w:rPr>
        <w:t xml:space="preserve"> jump” </w:t>
      </w:r>
      <w:r w:rsidR="00AA1E8F">
        <w:rPr>
          <w:lang w:val="en-US" w:eastAsia="zh-CN"/>
        </w:rPr>
        <w:t>during the handover from</w:t>
      </w:r>
      <w:r>
        <w:rPr>
          <w:lang w:val="en-US" w:eastAsia="zh-CN"/>
        </w:rPr>
        <w:t xml:space="preserve"> the origin TRP to the target TRP since PLL should </w:t>
      </w:r>
      <w:r w:rsidR="00B34787">
        <w:rPr>
          <w:lang w:val="en-US" w:eastAsia="zh-CN"/>
        </w:rPr>
        <w:t>first give up track the origin TRP and then re-track the target TRP.</w:t>
      </w:r>
      <w:r w:rsidR="00B34787" w:rsidRPr="00B34787">
        <w:t xml:space="preserve"> </w:t>
      </w:r>
      <w:r w:rsidR="00AA1E8F">
        <w:t>Moreover, since</w:t>
      </w:r>
      <w:r w:rsidR="00B34787" w:rsidRPr="00B34787">
        <w:rPr>
          <w:lang w:val="en-US" w:eastAsia="zh-CN"/>
        </w:rPr>
        <w:t xml:space="preserve"> UE DL frequency and timing compensation is baseline assumption, </w:t>
      </w:r>
      <w:r w:rsidR="00B34787">
        <w:rPr>
          <w:lang w:val="en-US" w:eastAsia="zh-CN"/>
        </w:rPr>
        <w:t xml:space="preserve">only residual Doppler and timing error </w:t>
      </w:r>
      <w:r w:rsidR="00AA1E8F" w:rsidRPr="00AA1E8F">
        <w:rPr>
          <w:lang w:val="en-US" w:eastAsia="zh-CN"/>
        </w:rPr>
        <w:t xml:space="preserve">should be considered </w:t>
      </w:r>
      <w:r w:rsidR="00AA1E8F">
        <w:rPr>
          <w:lang w:val="en-US" w:eastAsia="zh-CN"/>
        </w:rPr>
        <w:t xml:space="preserve">that is fixed value </w:t>
      </w:r>
      <w:r w:rsidR="00B34787">
        <w:rPr>
          <w:lang w:val="en-US" w:eastAsia="zh-CN"/>
        </w:rPr>
        <w:t>for all time</w:t>
      </w:r>
      <w:r w:rsidR="00024687">
        <w:rPr>
          <w:lang w:val="en-US" w:eastAsia="zh-CN"/>
        </w:rPr>
        <w:t>, it is no need to define complex channel model</w:t>
      </w:r>
      <w:r w:rsidR="00B34787">
        <w:rPr>
          <w:lang w:val="en-US" w:eastAsia="zh-CN"/>
        </w:rPr>
        <w:t xml:space="preserve">. </w:t>
      </w:r>
      <w:r w:rsidR="00AA1E8F">
        <w:rPr>
          <w:lang w:val="en-US" w:eastAsia="zh-CN"/>
        </w:rPr>
        <w:t>Therefore we propose to not</w:t>
      </w:r>
      <w:r w:rsidR="00B34787" w:rsidRPr="00B34787">
        <w:rPr>
          <w:lang w:val="en-US" w:eastAsia="zh-CN"/>
        </w:rPr>
        <w:t xml:space="preserve"> consider switching point for ATG UE demodulation evaluation and requirements</w:t>
      </w:r>
      <w:r w:rsidR="00024687">
        <w:rPr>
          <w:lang w:val="en-US" w:eastAsia="zh-CN"/>
        </w:rPr>
        <w:t>.</w:t>
      </w:r>
    </w:p>
    <w:p w14:paraId="5D669A7D" w14:textId="1A0A428B" w:rsidR="00564E63" w:rsidRDefault="00024687" w:rsidP="00564E63">
      <w:pPr>
        <w:pStyle w:val="Proposal"/>
      </w:pPr>
      <w:r>
        <w:t xml:space="preserve">Do </w:t>
      </w:r>
      <w:r w:rsidRPr="00024687">
        <w:t>not consider switching point for ATG UE demodulation evaluation and requirements.</w:t>
      </w:r>
    </w:p>
    <w:p w14:paraId="35433EDB" w14:textId="37008E3E" w:rsidR="001E3A40" w:rsidRDefault="001E3A40" w:rsidP="001E3A40">
      <w:pPr>
        <w:pStyle w:val="2"/>
        <w:rPr>
          <w:lang w:val="en-US" w:eastAsia="zh-CN"/>
        </w:rPr>
      </w:pPr>
      <w:r>
        <w:rPr>
          <w:rFonts w:hint="eastAsia"/>
          <w:lang w:val="en-US" w:eastAsia="zh-CN"/>
        </w:rPr>
        <w:lastRenderedPageBreak/>
        <w:t>A</w:t>
      </w:r>
      <w:r w:rsidRPr="001E3A40">
        <w:rPr>
          <w:lang w:val="en-US" w:eastAsia="zh-CN"/>
        </w:rPr>
        <w:t>lternatives to evaluate the Doppler shift tracking ability</w:t>
      </w:r>
    </w:p>
    <w:tbl>
      <w:tblPr>
        <w:tblStyle w:val="ae"/>
        <w:tblW w:w="0" w:type="auto"/>
        <w:tblLook w:val="04A0" w:firstRow="1" w:lastRow="0" w:firstColumn="1" w:lastColumn="0" w:noHBand="0" w:noVBand="1"/>
      </w:tblPr>
      <w:tblGrid>
        <w:gridCol w:w="10456"/>
      </w:tblGrid>
      <w:tr w:rsidR="001E3A40" w:rsidRPr="001E3A40" w14:paraId="4A869D04" w14:textId="77777777" w:rsidTr="001E3A40">
        <w:tc>
          <w:tcPr>
            <w:tcW w:w="10456" w:type="dxa"/>
          </w:tcPr>
          <w:p w14:paraId="294288E2" w14:textId="77777777" w:rsidR="001E3A40" w:rsidRPr="001E3A40" w:rsidRDefault="001E3A40" w:rsidP="001E3A40">
            <w:pPr>
              <w:numPr>
                <w:ilvl w:val="0"/>
                <w:numId w:val="5"/>
              </w:numPr>
              <w:spacing w:after="120"/>
              <w:rPr>
                <w:i/>
                <w:lang w:val="en-US" w:eastAsia="zh-CN"/>
              </w:rPr>
            </w:pPr>
            <w:r w:rsidRPr="001E3A40">
              <w:rPr>
                <w:rFonts w:hint="eastAsia"/>
                <w:i/>
                <w:lang w:val="en-US" w:eastAsia="zh-CN"/>
              </w:rPr>
              <w:t>Option 1: To consider the following alternatives to evaluate the Doppler shift tracking ability of a receiver</w:t>
            </w:r>
            <w:r w:rsidRPr="001E3A40">
              <w:rPr>
                <w:i/>
                <w:lang w:val="en-US" w:eastAsia="zh-CN"/>
              </w:rPr>
              <w:t xml:space="preserve">, interested companies could </w:t>
            </w:r>
            <w:r w:rsidRPr="001E3A40">
              <w:rPr>
                <w:rFonts w:hint="eastAsia"/>
                <w:i/>
                <w:lang w:val="en-US" w:eastAsia="zh-CN"/>
              </w:rPr>
              <w:t>bring</w:t>
            </w:r>
            <w:r w:rsidRPr="001E3A40">
              <w:rPr>
                <w:i/>
                <w:lang w:val="en-US" w:eastAsia="zh-CN"/>
              </w:rPr>
              <w:t xml:space="preserve"> analysis</w:t>
            </w:r>
            <w:r w:rsidRPr="001E3A40">
              <w:rPr>
                <w:rFonts w:hint="eastAsia"/>
                <w:i/>
                <w:lang w:val="en-US" w:eastAsia="zh-CN"/>
              </w:rPr>
              <w:t>:</w:t>
            </w:r>
          </w:p>
          <w:p w14:paraId="788A0530" w14:textId="77777777" w:rsidR="001E3A40" w:rsidRPr="001E3A40" w:rsidRDefault="001E3A40" w:rsidP="001E3A40">
            <w:pPr>
              <w:numPr>
                <w:ilvl w:val="1"/>
                <w:numId w:val="5"/>
              </w:numPr>
              <w:spacing w:after="120"/>
              <w:rPr>
                <w:i/>
                <w:lang w:val="en-US" w:eastAsia="zh-CN"/>
              </w:rPr>
            </w:pPr>
            <w:r w:rsidRPr="001E3A40">
              <w:rPr>
                <w:rFonts w:hint="eastAsia"/>
                <w:i/>
                <w:lang w:val="en-US" w:eastAsia="zh-CN"/>
              </w:rPr>
              <w:t>Alternative 1: Evaluate a period during which the airplane experiences a large Doppler shift.</w:t>
            </w:r>
          </w:p>
          <w:p w14:paraId="61F60064" w14:textId="77777777" w:rsidR="001E3A40" w:rsidRPr="001E3A40" w:rsidRDefault="001E3A40" w:rsidP="001E3A40">
            <w:pPr>
              <w:numPr>
                <w:ilvl w:val="1"/>
                <w:numId w:val="5"/>
              </w:numPr>
              <w:spacing w:after="120"/>
              <w:rPr>
                <w:i/>
                <w:lang w:val="en-US" w:eastAsia="zh-CN"/>
              </w:rPr>
            </w:pPr>
            <w:r w:rsidRPr="001E3A40">
              <w:rPr>
                <w:rFonts w:hint="eastAsia"/>
                <w:i/>
                <w:lang w:val="en-US" w:eastAsia="zh-CN"/>
              </w:rPr>
              <w:t>Alternative 2: Evaluate a period during which the airplane experiences large Doppler changes.</w:t>
            </w:r>
          </w:p>
          <w:p w14:paraId="74A073C7" w14:textId="132D7D53" w:rsidR="001E3A40" w:rsidRPr="001E3A40" w:rsidRDefault="001E3A40" w:rsidP="001E3A40">
            <w:pPr>
              <w:numPr>
                <w:ilvl w:val="1"/>
                <w:numId w:val="5"/>
              </w:numPr>
              <w:spacing w:after="120"/>
              <w:rPr>
                <w:i/>
                <w:lang w:val="en-US" w:eastAsia="zh-CN"/>
              </w:rPr>
            </w:pPr>
            <w:r w:rsidRPr="001E3A40">
              <w:rPr>
                <w:rFonts w:hint="eastAsia"/>
                <w:i/>
                <w:lang w:val="en-US" w:eastAsia="zh-CN"/>
              </w:rPr>
              <w:t xml:space="preserve">Alternative 3: The combination of the above two situations. </w:t>
            </w:r>
          </w:p>
        </w:tc>
      </w:tr>
    </w:tbl>
    <w:p w14:paraId="7B591FB4" w14:textId="2522492F" w:rsidR="001E3A40" w:rsidRDefault="001E3A40" w:rsidP="001E3A40">
      <w:pPr>
        <w:rPr>
          <w:lang w:val="en-US" w:eastAsia="zh-CN"/>
        </w:rPr>
      </w:pPr>
    </w:p>
    <w:p w14:paraId="2F5E4F3D" w14:textId="47EC2860" w:rsidR="001E3A40" w:rsidRDefault="005578E2" w:rsidP="001E3A40">
      <w:pPr>
        <w:rPr>
          <w:lang w:val="en-US" w:eastAsia="zh-CN"/>
        </w:rPr>
      </w:pPr>
      <w:r w:rsidRPr="005578E2">
        <w:rPr>
          <w:lang w:val="en-US" w:eastAsia="zh-CN"/>
        </w:rPr>
        <w:t xml:space="preserve">In last meeting we have already achieve the agreement that ATG UE compensation on DL frequency shift is baseline assumption, there is not </w:t>
      </w:r>
      <w:r>
        <w:rPr>
          <w:lang w:val="en-US" w:eastAsia="zh-CN"/>
        </w:rPr>
        <w:t>a</w:t>
      </w:r>
      <w:r w:rsidRPr="005578E2">
        <w:rPr>
          <w:lang w:val="en-US" w:eastAsia="zh-CN"/>
        </w:rPr>
        <w:t xml:space="preserve"> large Doppler shift </w:t>
      </w:r>
      <w:r w:rsidR="00902BEE">
        <w:rPr>
          <w:lang w:val="en-US" w:eastAsia="zh-CN"/>
        </w:rPr>
        <w:t>or a large Doppler change</w:t>
      </w:r>
      <w:r w:rsidRPr="005578E2">
        <w:rPr>
          <w:lang w:val="en-US" w:eastAsia="zh-CN"/>
        </w:rPr>
        <w:t xml:space="preserve"> can be observed by ATG UE</w:t>
      </w:r>
      <w:r w:rsidR="00902BEE">
        <w:rPr>
          <w:lang w:val="en-US" w:eastAsia="zh-CN"/>
        </w:rPr>
        <w:t xml:space="preserve">, so we do not think there is necessity to </w:t>
      </w:r>
      <w:r w:rsidR="00902BEE" w:rsidRPr="00902BEE">
        <w:rPr>
          <w:lang w:val="en-US" w:eastAsia="zh-CN"/>
        </w:rPr>
        <w:t>evaluate the Doppler shift tracking ability of a receiver</w:t>
      </w:r>
      <w:r w:rsidR="00902BEE">
        <w:rPr>
          <w:lang w:val="en-US" w:eastAsia="zh-CN"/>
        </w:rPr>
        <w:t>.</w:t>
      </w:r>
    </w:p>
    <w:p w14:paraId="45F688AA" w14:textId="12C86249" w:rsidR="00902BEE" w:rsidRDefault="00902BEE" w:rsidP="004638D2">
      <w:pPr>
        <w:pStyle w:val="Proposal"/>
      </w:pPr>
      <w:r>
        <w:t>T</w:t>
      </w:r>
      <w:r w:rsidRPr="00902BEE">
        <w:t xml:space="preserve">here is </w:t>
      </w:r>
      <w:r>
        <w:t>no necessity</w:t>
      </w:r>
      <w:r w:rsidRPr="00902BEE">
        <w:t xml:space="preserve"> to evaluate the Doppler shift tracking ability of a receiver.</w:t>
      </w:r>
    </w:p>
    <w:p w14:paraId="78D23685" w14:textId="72A4E5D4" w:rsidR="001E3A40" w:rsidRDefault="001E3A40" w:rsidP="001E3A40">
      <w:pPr>
        <w:pStyle w:val="2"/>
        <w:rPr>
          <w:lang w:val="en-US" w:eastAsia="zh-CN"/>
        </w:rPr>
      </w:pPr>
      <w:r w:rsidRPr="001E3A40">
        <w:rPr>
          <w:lang w:val="en-US" w:eastAsia="zh-CN"/>
        </w:rPr>
        <w:t>Applicability rule</w:t>
      </w:r>
    </w:p>
    <w:tbl>
      <w:tblPr>
        <w:tblStyle w:val="ae"/>
        <w:tblW w:w="0" w:type="auto"/>
        <w:tblLook w:val="04A0" w:firstRow="1" w:lastRow="0" w:firstColumn="1" w:lastColumn="0" w:noHBand="0" w:noVBand="1"/>
      </w:tblPr>
      <w:tblGrid>
        <w:gridCol w:w="10456"/>
      </w:tblGrid>
      <w:tr w:rsidR="001E3A40" w:rsidRPr="001E3A40" w14:paraId="631606BD" w14:textId="77777777" w:rsidTr="001E3A40">
        <w:tc>
          <w:tcPr>
            <w:tcW w:w="10456" w:type="dxa"/>
          </w:tcPr>
          <w:p w14:paraId="0BF87CE5" w14:textId="77777777" w:rsidR="001E3A40" w:rsidRPr="001E3A40" w:rsidRDefault="001E3A40" w:rsidP="001E3A40">
            <w:pPr>
              <w:numPr>
                <w:ilvl w:val="0"/>
                <w:numId w:val="5"/>
              </w:numPr>
              <w:spacing w:after="120"/>
              <w:rPr>
                <w:i/>
                <w:lang w:val="en-US" w:eastAsia="zh-CN"/>
              </w:rPr>
            </w:pPr>
            <w:r w:rsidRPr="001E3A40">
              <w:rPr>
                <w:i/>
                <w:lang w:val="en-US" w:eastAsia="zh-CN"/>
              </w:rPr>
              <w:t xml:space="preserve">Option 1: Applicability rule can be defined that if UE supporting both NTN and ATG feature has passed the NTN performance requirements, then it can skip ATG cases with the same SCS, bandwidth, MCS and rank configurations. </w:t>
            </w:r>
          </w:p>
          <w:p w14:paraId="5ECFC06D" w14:textId="00804836" w:rsidR="001E3A40" w:rsidRPr="001E3A40" w:rsidRDefault="001E3A40" w:rsidP="001E3A40">
            <w:pPr>
              <w:numPr>
                <w:ilvl w:val="0"/>
                <w:numId w:val="5"/>
              </w:numPr>
              <w:spacing w:after="120"/>
              <w:rPr>
                <w:i/>
                <w:lang w:val="en-US" w:eastAsia="zh-CN"/>
              </w:rPr>
            </w:pPr>
            <w:r w:rsidRPr="001E3A40">
              <w:rPr>
                <w:rFonts w:hint="eastAsia"/>
                <w:i/>
                <w:lang w:val="en-US" w:eastAsia="zh-CN"/>
              </w:rPr>
              <w:t>O</w:t>
            </w:r>
            <w:r w:rsidRPr="001E3A40">
              <w:rPr>
                <w:i/>
                <w:lang w:val="en-US" w:eastAsia="zh-CN"/>
              </w:rPr>
              <w:t>ption 2: FFS</w:t>
            </w:r>
          </w:p>
        </w:tc>
      </w:tr>
    </w:tbl>
    <w:p w14:paraId="3B11F804" w14:textId="3B6490FD" w:rsidR="001E3A40" w:rsidRDefault="001E3A40" w:rsidP="001E3A40">
      <w:pPr>
        <w:rPr>
          <w:lang w:val="en-US" w:eastAsia="zh-CN"/>
        </w:rPr>
      </w:pPr>
    </w:p>
    <w:p w14:paraId="60EE1ABF" w14:textId="4D4026F5" w:rsidR="008657D2" w:rsidRDefault="004638D2" w:rsidP="001E3A40">
      <w:pPr>
        <w:rPr>
          <w:lang w:val="en-US" w:eastAsia="zh-CN"/>
        </w:rPr>
      </w:pPr>
      <w:r>
        <w:rPr>
          <w:lang w:val="en-US" w:eastAsia="zh-CN"/>
        </w:rPr>
        <w:t>F</w:t>
      </w:r>
      <w:r w:rsidR="00902BEE">
        <w:rPr>
          <w:lang w:val="en-US" w:eastAsia="zh-CN"/>
        </w:rPr>
        <w:t xml:space="preserve">rom our understanding, the ATG UE should pass the mandated cases defined in TS 38.101-4 and should pass other </w:t>
      </w:r>
      <w:r>
        <w:rPr>
          <w:lang w:val="en-US" w:eastAsia="zh-CN"/>
        </w:rPr>
        <w:t xml:space="preserve">optional </w:t>
      </w:r>
      <w:r w:rsidR="00902BEE">
        <w:rPr>
          <w:lang w:val="en-US" w:eastAsia="zh-CN"/>
        </w:rPr>
        <w:t xml:space="preserve">cases </w:t>
      </w:r>
      <w:r w:rsidR="00902BEE" w:rsidRPr="00902BEE">
        <w:rPr>
          <w:lang w:val="en-US" w:eastAsia="zh-CN"/>
        </w:rPr>
        <w:t>defined in TS 38.101-4</w:t>
      </w:r>
      <w:r w:rsidR="00902BEE">
        <w:rPr>
          <w:lang w:val="en-US" w:eastAsia="zh-CN"/>
        </w:rPr>
        <w:t xml:space="preserve"> and TS 38.101-5 based on UE capability.</w:t>
      </w:r>
      <w:r w:rsidR="003438A6">
        <w:rPr>
          <w:lang w:val="en-US" w:eastAsia="zh-CN"/>
        </w:rPr>
        <w:t xml:space="preserve"> </w:t>
      </w:r>
      <w:r>
        <w:rPr>
          <w:lang w:val="en-US" w:eastAsia="zh-CN"/>
        </w:rPr>
        <w:t xml:space="preserve">It is possible that the ATG UE also supports the NTN feature. </w:t>
      </w:r>
      <w:r w:rsidR="008657D2" w:rsidRPr="008657D2">
        <w:rPr>
          <w:lang w:val="en-US" w:eastAsia="zh-CN"/>
        </w:rPr>
        <w:t>Comparing the ATG scenario and the NTN scenario, ATG scenario is expect with larger maximum feasible MCS and rank since there is smaller distance between the CPE and the BS than NTN. To avoid duplicating testing, applicability rule can be defined that if UE supporting both NTN and ATG feature has passed the NTN performance requirements, then it can skip ATG cases with the same MCS and rank configurations.</w:t>
      </w:r>
    </w:p>
    <w:p w14:paraId="2BF144CC" w14:textId="7A5C8932" w:rsidR="008657D2" w:rsidRPr="004638D2" w:rsidRDefault="004638D2" w:rsidP="001E3A40">
      <w:pPr>
        <w:pStyle w:val="Proposal"/>
      </w:pPr>
      <w:r>
        <w:t>A</w:t>
      </w:r>
      <w:r w:rsidRPr="00D55618">
        <w:t>pplicability rule can be defined that if UE supporting both NTN and ATG feature has passed the NTN performance requirements, then it can skip ATG cases with the same MCS and rank configurations.</w:t>
      </w:r>
    </w:p>
    <w:p w14:paraId="06EF3418" w14:textId="2E248CBE"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728E7A6C"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A7C2F" w:rsidRPr="00EA7C2F">
        <w:rPr>
          <w:lang w:val="en-US" w:eastAsia="zh-CN"/>
        </w:rPr>
        <w:t xml:space="preserve">NR </w:t>
      </w:r>
      <w:r w:rsidR="001F30E9">
        <w:rPr>
          <w:lang w:val="en-US" w:eastAsia="zh-CN"/>
        </w:rPr>
        <w:t xml:space="preserve">UE </w:t>
      </w:r>
      <w:r w:rsidR="00EA7C2F" w:rsidRPr="00EA7C2F">
        <w:rPr>
          <w:lang w:val="en-US" w:eastAsia="zh-CN"/>
        </w:rPr>
        <w:t>ATG demodulation requirements</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6628CF1B" w14:textId="77777777" w:rsidR="00A3074C" w:rsidRPr="003C5126" w:rsidRDefault="00A3074C" w:rsidP="00A3074C">
      <w:pPr>
        <w:pStyle w:val="Proposal"/>
        <w:numPr>
          <w:ilvl w:val="0"/>
          <w:numId w:val="14"/>
        </w:numPr>
      </w:pPr>
      <w:r w:rsidRPr="003C5126">
        <w:t xml:space="preserve">Do not </w:t>
      </w:r>
      <w:r>
        <w:t>define</w:t>
      </w:r>
      <w:r w:rsidRPr="003C5126">
        <w:t xml:space="preserve"> </w:t>
      </w:r>
      <w:r w:rsidRPr="00FC0CD2">
        <w:t>PDCCH and CSI reporting</w:t>
      </w:r>
      <w:r w:rsidRPr="003C5126">
        <w:t xml:space="preserve"> requirements for ATG </w:t>
      </w:r>
      <w:r>
        <w:t>UE</w:t>
      </w:r>
      <w:r w:rsidRPr="003C5126">
        <w:t>.</w:t>
      </w:r>
    </w:p>
    <w:p w14:paraId="469E2B88" w14:textId="77777777" w:rsidR="00A3074C" w:rsidRPr="008A3803" w:rsidRDefault="00A3074C" w:rsidP="00A3074C">
      <w:pPr>
        <w:pStyle w:val="Proposal"/>
      </w:pPr>
      <w:r>
        <w:t>S</w:t>
      </w:r>
      <w:r w:rsidRPr="00D252B8">
        <w:t xml:space="preserve">elect the maximum K_offset value 2ms for ATG </w:t>
      </w:r>
      <w:r>
        <w:t xml:space="preserve">UE </w:t>
      </w:r>
      <w:r w:rsidRPr="00D252B8">
        <w:t>performance requirements</w:t>
      </w:r>
      <w:r>
        <w:t>.</w:t>
      </w:r>
    </w:p>
    <w:p w14:paraId="3CF8C963" w14:textId="77777777" w:rsidR="00A3074C" w:rsidRDefault="00A3074C" w:rsidP="00A3074C">
      <w:pPr>
        <w:pStyle w:val="Proposal"/>
      </w:pPr>
      <w:r>
        <w:t>S</w:t>
      </w:r>
      <w:r w:rsidRPr="005578E2">
        <w:t>elect 40MHz for TDD 30kHz SCS for ATG UE performance requirements.</w:t>
      </w:r>
    </w:p>
    <w:p w14:paraId="2F52B1A9" w14:textId="77777777" w:rsidR="00A3074C" w:rsidRDefault="00A3074C" w:rsidP="00A3074C">
      <w:pPr>
        <w:pStyle w:val="Proposal"/>
      </w:pPr>
      <w:r>
        <w:t>I</w:t>
      </w:r>
      <w:r w:rsidRPr="00F4445F">
        <w:t>f new dedicated TDD pattern is considered, note should be added in the specification that this is pattern is for ATG scenario used only.</w:t>
      </w:r>
    </w:p>
    <w:p w14:paraId="127659F1" w14:textId="6797EB37" w:rsidR="00A3074C" w:rsidRDefault="001E0DB1" w:rsidP="00A3074C">
      <w:pPr>
        <w:pStyle w:val="Proposal"/>
      </w:pPr>
      <w:r>
        <w:rPr>
          <w:rFonts w:hint="eastAsia"/>
        </w:rPr>
        <w:t>C</w:t>
      </w:r>
      <w:r>
        <w:t xml:space="preserve">onsider </w:t>
      </w:r>
      <w:r w:rsidRPr="009F4C1C">
        <w:t>2x2</w:t>
      </w:r>
      <w:r>
        <w:t xml:space="preserve">, </w:t>
      </w:r>
      <w:r w:rsidRPr="009F4C1C">
        <w:t xml:space="preserve">2x4 </w:t>
      </w:r>
      <w:r>
        <w:t>and 4x4</w:t>
      </w:r>
      <w:bookmarkStart w:id="2" w:name="_GoBack"/>
      <w:bookmarkEnd w:id="2"/>
      <w:r w:rsidR="00A3074C" w:rsidRPr="009F4C1C">
        <w:t xml:space="preserve"> for both FDD and TDD</w:t>
      </w:r>
      <w:r w:rsidR="00A3074C">
        <w:t xml:space="preserve"> for </w:t>
      </w:r>
      <w:r w:rsidR="00A3074C" w:rsidRPr="009F4C1C">
        <w:t>ATG UE demodulation requirements</w:t>
      </w:r>
      <w:r w:rsidR="00A3074C">
        <w:t>.</w:t>
      </w:r>
    </w:p>
    <w:p w14:paraId="65153BFF" w14:textId="77777777" w:rsidR="00666B00" w:rsidRDefault="00666B00" w:rsidP="00666B00">
      <w:pPr>
        <w:pStyle w:val="Proposal"/>
      </w:pPr>
      <w:r>
        <w:t xml:space="preserve">Do </w:t>
      </w:r>
      <w:r w:rsidRPr="00666B00">
        <w:t>not consider 256QAM for ATG UE demodulation requirements</w:t>
      </w:r>
      <w:r w:rsidRPr="002F7931">
        <w:t>.</w:t>
      </w:r>
    </w:p>
    <w:p w14:paraId="03508B1D" w14:textId="77777777" w:rsidR="00A3074C" w:rsidRDefault="00A3074C" w:rsidP="00A3074C">
      <w:pPr>
        <w:pStyle w:val="Proposal"/>
      </w:pPr>
      <w:r>
        <w:lastRenderedPageBreak/>
        <w:t>Configure DMRS 1+1 for ATG UE demodulation requirements.</w:t>
      </w:r>
    </w:p>
    <w:p w14:paraId="43F57761" w14:textId="77777777" w:rsidR="00A3074C" w:rsidRDefault="00A3074C" w:rsidP="00A3074C">
      <w:pPr>
        <w:pStyle w:val="Proposal"/>
      </w:pPr>
      <w:r>
        <w:t xml:space="preserve">Do </w:t>
      </w:r>
      <w:r w:rsidRPr="00024687">
        <w:t>not consider switching point for ATG UE demodulation evaluation and requirements.</w:t>
      </w:r>
    </w:p>
    <w:p w14:paraId="3AF1A5A6" w14:textId="77777777" w:rsidR="00A3074C" w:rsidRDefault="00A3074C" w:rsidP="00A3074C">
      <w:pPr>
        <w:pStyle w:val="Proposal"/>
      </w:pPr>
      <w:r>
        <w:t>T</w:t>
      </w:r>
      <w:r w:rsidRPr="00902BEE">
        <w:t xml:space="preserve">here is </w:t>
      </w:r>
      <w:r>
        <w:t>no necessity</w:t>
      </w:r>
      <w:r w:rsidRPr="00902BEE">
        <w:t xml:space="preserve"> to evaluate the Doppler shift tracking ability of a receiver.</w:t>
      </w:r>
    </w:p>
    <w:p w14:paraId="34A98F8B" w14:textId="77777777" w:rsidR="00A3074C" w:rsidRPr="004638D2" w:rsidRDefault="00A3074C" w:rsidP="00A3074C">
      <w:pPr>
        <w:pStyle w:val="Proposal"/>
      </w:pPr>
      <w:r>
        <w:t>A</w:t>
      </w:r>
      <w:r w:rsidRPr="00D55618">
        <w:t>pplicability rule can be defined that if UE supporting both NTN and ATG feature has passed the NTN performance requirements, then it can skip ATG cases with the same MCS and rank configurations.</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5C79C131" w:rsidR="00A64ABC" w:rsidRDefault="005A0C1C" w:rsidP="00964D21">
      <w:pPr>
        <w:pStyle w:val="Reference"/>
        <w:ind w:left="400" w:hanging="400"/>
        <w:rPr>
          <w:lang w:val="en-US" w:eastAsia="zh-CN"/>
        </w:rPr>
      </w:pPr>
      <w:bookmarkStart w:id="3" w:name="_Ref92466078"/>
      <w:bookmarkStart w:id="4" w:name="_Ref95377570"/>
      <w:bookmarkStart w:id="5" w:name="_Ref126059685"/>
      <w:bookmarkStart w:id="6" w:name="_Ref126587496"/>
      <w:r w:rsidRPr="005A0C1C">
        <w:rPr>
          <w:lang w:val="en-US" w:eastAsia="zh-CN"/>
        </w:rPr>
        <w:t>R</w:t>
      </w:r>
      <w:bookmarkEnd w:id="3"/>
      <w:bookmarkEnd w:id="4"/>
      <w:bookmarkEnd w:id="5"/>
      <w:bookmarkEnd w:id="6"/>
      <w:r w:rsidR="002031E4" w:rsidRPr="002031E4">
        <w:rPr>
          <w:lang w:val="en-US" w:eastAsia="zh-CN"/>
        </w:rPr>
        <w:t>4-2302996, WF for ATG demodulation requirements, RAN4#106, CMCC</w:t>
      </w:r>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AE4A4" w14:textId="77777777" w:rsidR="0019109A" w:rsidRDefault="0019109A" w:rsidP="009163A1">
      <w:pPr>
        <w:spacing w:after="0"/>
      </w:pPr>
      <w:r>
        <w:separator/>
      </w:r>
    </w:p>
  </w:endnote>
  <w:endnote w:type="continuationSeparator" w:id="0">
    <w:p w14:paraId="081D938A" w14:textId="77777777" w:rsidR="0019109A" w:rsidRDefault="0019109A"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45A62" w14:textId="77777777" w:rsidR="0019109A" w:rsidRDefault="0019109A" w:rsidP="009163A1">
      <w:pPr>
        <w:spacing w:after="0"/>
      </w:pPr>
      <w:r>
        <w:separator/>
      </w:r>
    </w:p>
  </w:footnote>
  <w:footnote w:type="continuationSeparator" w:id="0">
    <w:p w14:paraId="6DD4F38B" w14:textId="77777777" w:rsidR="0019109A" w:rsidRDefault="0019109A"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B1DA7B1A"/>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40D2"/>
    <w:rsid w:val="0001581F"/>
    <w:rsid w:val="00016921"/>
    <w:rsid w:val="0002379D"/>
    <w:rsid w:val="00024687"/>
    <w:rsid w:val="00026D17"/>
    <w:rsid w:val="0003042D"/>
    <w:rsid w:val="000306CB"/>
    <w:rsid w:val="00034F67"/>
    <w:rsid w:val="00040C05"/>
    <w:rsid w:val="000434C3"/>
    <w:rsid w:val="0004362D"/>
    <w:rsid w:val="00052512"/>
    <w:rsid w:val="000609E0"/>
    <w:rsid w:val="000745D8"/>
    <w:rsid w:val="00084253"/>
    <w:rsid w:val="00084E6B"/>
    <w:rsid w:val="00086031"/>
    <w:rsid w:val="00086A1D"/>
    <w:rsid w:val="000915E7"/>
    <w:rsid w:val="00091E18"/>
    <w:rsid w:val="000923F8"/>
    <w:rsid w:val="000A0B9E"/>
    <w:rsid w:val="000A4806"/>
    <w:rsid w:val="000A5518"/>
    <w:rsid w:val="000A56DE"/>
    <w:rsid w:val="000A5856"/>
    <w:rsid w:val="000A6595"/>
    <w:rsid w:val="000A6E8B"/>
    <w:rsid w:val="000B174F"/>
    <w:rsid w:val="000C100F"/>
    <w:rsid w:val="000C1D73"/>
    <w:rsid w:val="000C2751"/>
    <w:rsid w:val="000C68F4"/>
    <w:rsid w:val="000C7B35"/>
    <w:rsid w:val="000D345A"/>
    <w:rsid w:val="000D582D"/>
    <w:rsid w:val="000D6EBC"/>
    <w:rsid w:val="000E418E"/>
    <w:rsid w:val="000F0B45"/>
    <w:rsid w:val="000F20DF"/>
    <w:rsid w:val="000F268B"/>
    <w:rsid w:val="000F3C06"/>
    <w:rsid w:val="000F6ADA"/>
    <w:rsid w:val="000F6E78"/>
    <w:rsid w:val="00101879"/>
    <w:rsid w:val="00106E4B"/>
    <w:rsid w:val="00106E7B"/>
    <w:rsid w:val="001108F8"/>
    <w:rsid w:val="00110D4B"/>
    <w:rsid w:val="0011677D"/>
    <w:rsid w:val="001175B5"/>
    <w:rsid w:val="001207C5"/>
    <w:rsid w:val="00121173"/>
    <w:rsid w:val="001229F1"/>
    <w:rsid w:val="00136B1B"/>
    <w:rsid w:val="00141027"/>
    <w:rsid w:val="00142697"/>
    <w:rsid w:val="001439A6"/>
    <w:rsid w:val="00154948"/>
    <w:rsid w:val="001555C5"/>
    <w:rsid w:val="0015739F"/>
    <w:rsid w:val="00157D97"/>
    <w:rsid w:val="00163303"/>
    <w:rsid w:val="00167E9A"/>
    <w:rsid w:val="00170674"/>
    <w:rsid w:val="00171E01"/>
    <w:rsid w:val="00173BFB"/>
    <w:rsid w:val="00175DD4"/>
    <w:rsid w:val="00180C6D"/>
    <w:rsid w:val="00184CD2"/>
    <w:rsid w:val="001862EB"/>
    <w:rsid w:val="0019109A"/>
    <w:rsid w:val="00196D54"/>
    <w:rsid w:val="001A1FB2"/>
    <w:rsid w:val="001A612E"/>
    <w:rsid w:val="001B1E9A"/>
    <w:rsid w:val="001B38C0"/>
    <w:rsid w:val="001B4B37"/>
    <w:rsid w:val="001B7488"/>
    <w:rsid w:val="001C2E61"/>
    <w:rsid w:val="001C3749"/>
    <w:rsid w:val="001C4440"/>
    <w:rsid w:val="001C4A50"/>
    <w:rsid w:val="001D0B20"/>
    <w:rsid w:val="001D54C7"/>
    <w:rsid w:val="001E0DB1"/>
    <w:rsid w:val="001E2554"/>
    <w:rsid w:val="001E3115"/>
    <w:rsid w:val="001E3A40"/>
    <w:rsid w:val="001E53A1"/>
    <w:rsid w:val="001E5A0A"/>
    <w:rsid w:val="001F00F8"/>
    <w:rsid w:val="001F0B11"/>
    <w:rsid w:val="001F30E9"/>
    <w:rsid w:val="001F44AE"/>
    <w:rsid w:val="001F660F"/>
    <w:rsid w:val="00201A9B"/>
    <w:rsid w:val="002031E4"/>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5A65"/>
    <w:rsid w:val="00256403"/>
    <w:rsid w:val="00256515"/>
    <w:rsid w:val="00262B90"/>
    <w:rsid w:val="0026337D"/>
    <w:rsid w:val="00264A2C"/>
    <w:rsid w:val="00266441"/>
    <w:rsid w:val="0026679C"/>
    <w:rsid w:val="002739ED"/>
    <w:rsid w:val="00273A37"/>
    <w:rsid w:val="00274204"/>
    <w:rsid w:val="0027571A"/>
    <w:rsid w:val="0028155C"/>
    <w:rsid w:val="0029153F"/>
    <w:rsid w:val="0029225C"/>
    <w:rsid w:val="002928C5"/>
    <w:rsid w:val="00293C31"/>
    <w:rsid w:val="00295972"/>
    <w:rsid w:val="002977D6"/>
    <w:rsid w:val="002A00F4"/>
    <w:rsid w:val="002A2920"/>
    <w:rsid w:val="002A2DEB"/>
    <w:rsid w:val="002A395D"/>
    <w:rsid w:val="002A43B2"/>
    <w:rsid w:val="002A79F3"/>
    <w:rsid w:val="002B020F"/>
    <w:rsid w:val="002B2B37"/>
    <w:rsid w:val="002C5482"/>
    <w:rsid w:val="002C6174"/>
    <w:rsid w:val="002C6722"/>
    <w:rsid w:val="002C7212"/>
    <w:rsid w:val="002D0711"/>
    <w:rsid w:val="002D17FD"/>
    <w:rsid w:val="002D3E2B"/>
    <w:rsid w:val="002D6D6A"/>
    <w:rsid w:val="002D7CE2"/>
    <w:rsid w:val="002E2F7D"/>
    <w:rsid w:val="002E340C"/>
    <w:rsid w:val="002E6B72"/>
    <w:rsid w:val="002F2196"/>
    <w:rsid w:val="002F4BA9"/>
    <w:rsid w:val="002F6122"/>
    <w:rsid w:val="002F7931"/>
    <w:rsid w:val="0030104D"/>
    <w:rsid w:val="00306370"/>
    <w:rsid w:val="00307584"/>
    <w:rsid w:val="00310F15"/>
    <w:rsid w:val="00312EDF"/>
    <w:rsid w:val="00314027"/>
    <w:rsid w:val="0031498C"/>
    <w:rsid w:val="00322452"/>
    <w:rsid w:val="00322769"/>
    <w:rsid w:val="00326831"/>
    <w:rsid w:val="00327B16"/>
    <w:rsid w:val="00332A2F"/>
    <w:rsid w:val="0033692D"/>
    <w:rsid w:val="0034114E"/>
    <w:rsid w:val="00342573"/>
    <w:rsid w:val="00342D38"/>
    <w:rsid w:val="00342F54"/>
    <w:rsid w:val="003438A6"/>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367C"/>
    <w:rsid w:val="003A518C"/>
    <w:rsid w:val="003B1587"/>
    <w:rsid w:val="003B6209"/>
    <w:rsid w:val="003B6518"/>
    <w:rsid w:val="003C2692"/>
    <w:rsid w:val="003C4B01"/>
    <w:rsid w:val="003C5126"/>
    <w:rsid w:val="003C53B3"/>
    <w:rsid w:val="003C5DE9"/>
    <w:rsid w:val="003D308C"/>
    <w:rsid w:val="003E0499"/>
    <w:rsid w:val="003E6D10"/>
    <w:rsid w:val="003E7958"/>
    <w:rsid w:val="003F087B"/>
    <w:rsid w:val="003F132C"/>
    <w:rsid w:val="003F1B39"/>
    <w:rsid w:val="003F3605"/>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42820"/>
    <w:rsid w:val="00452050"/>
    <w:rsid w:val="0045261D"/>
    <w:rsid w:val="00452A90"/>
    <w:rsid w:val="004530D3"/>
    <w:rsid w:val="004575B7"/>
    <w:rsid w:val="004638D2"/>
    <w:rsid w:val="00464C15"/>
    <w:rsid w:val="00466D17"/>
    <w:rsid w:val="00474160"/>
    <w:rsid w:val="004750C1"/>
    <w:rsid w:val="004757EA"/>
    <w:rsid w:val="004774C7"/>
    <w:rsid w:val="00481B5B"/>
    <w:rsid w:val="004842BC"/>
    <w:rsid w:val="00491B2D"/>
    <w:rsid w:val="004A0295"/>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1A89"/>
    <w:rsid w:val="00503B2B"/>
    <w:rsid w:val="00513486"/>
    <w:rsid w:val="00517C7B"/>
    <w:rsid w:val="00520D28"/>
    <w:rsid w:val="00522372"/>
    <w:rsid w:val="00523DB3"/>
    <w:rsid w:val="005256C9"/>
    <w:rsid w:val="00525EDA"/>
    <w:rsid w:val="0052662F"/>
    <w:rsid w:val="00526EB5"/>
    <w:rsid w:val="00527924"/>
    <w:rsid w:val="005303A3"/>
    <w:rsid w:val="005324E6"/>
    <w:rsid w:val="00532969"/>
    <w:rsid w:val="00537C66"/>
    <w:rsid w:val="00542DCE"/>
    <w:rsid w:val="00550FA9"/>
    <w:rsid w:val="005520EE"/>
    <w:rsid w:val="00553E20"/>
    <w:rsid w:val="00555E12"/>
    <w:rsid w:val="005578E2"/>
    <w:rsid w:val="00560F1D"/>
    <w:rsid w:val="00561B54"/>
    <w:rsid w:val="00564E63"/>
    <w:rsid w:val="00565834"/>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5D0B"/>
    <w:rsid w:val="00616955"/>
    <w:rsid w:val="00624A59"/>
    <w:rsid w:val="006254EF"/>
    <w:rsid w:val="00626C53"/>
    <w:rsid w:val="00632715"/>
    <w:rsid w:val="0063536C"/>
    <w:rsid w:val="00637807"/>
    <w:rsid w:val="00641A0D"/>
    <w:rsid w:val="00644782"/>
    <w:rsid w:val="00646DA1"/>
    <w:rsid w:val="00650955"/>
    <w:rsid w:val="006529DC"/>
    <w:rsid w:val="0065378D"/>
    <w:rsid w:val="006551CC"/>
    <w:rsid w:val="0065771A"/>
    <w:rsid w:val="00657B61"/>
    <w:rsid w:val="00662A91"/>
    <w:rsid w:val="00663402"/>
    <w:rsid w:val="006654A8"/>
    <w:rsid w:val="006660C7"/>
    <w:rsid w:val="00666675"/>
    <w:rsid w:val="00666B00"/>
    <w:rsid w:val="0067773B"/>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57E55"/>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35"/>
    <w:rsid w:val="007C404F"/>
    <w:rsid w:val="007C4349"/>
    <w:rsid w:val="007C4AD1"/>
    <w:rsid w:val="007D020D"/>
    <w:rsid w:val="007D050C"/>
    <w:rsid w:val="007D2632"/>
    <w:rsid w:val="007D2AA3"/>
    <w:rsid w:val="007D5560"/>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3678C"/>
    <w:rsid w:val="0084642A"/>
    <w:rsid w:val="00846F6F"/>
    <w:rsid w:val="0084779A"/>
    <w:rsid w:val="00847B68"/>
    <w:rsid w:val="00851AC2"/>
    <w:rsid w:val="00857EA4"/>
    <w:rsid w:val="008657D2"/>
    <w:rsid w:val="008664AE"/>
    <w:rsid w:val="008672A0"/>
    <w:rsid w:val="008727FE"/>
    <w:rsid w:val="00872EDD"/>
    <w:rsid w:val="00873115"/>
    <w:rsid w:val="0087443A"/>
    <w:rsid w:val="00874ED9"/>
    <w:rsid w:val="00876136"/>
    <w:rsid w:val="00880C4B"/>
    <w:rsid w:val="008816BE"/>
    <w:rsid w:val="0088496F"/>
    <w:rsid w:val="00894931"/>
    <w:rsid w:val="00894F29"/>
    <w:rsid w:val="008A3803"/>
    <w:rsid w:val="008A732B"/>
    <w:rsid w:val="008A7439"/>
    <w:rsid w:val="008B06F0"/>
    <w:rsid w:val="008B286B"/>
    <w:rsid w:val="008C46D5"/>
    <w:rsid w:val="008C52B1"/>
    <w:rsid w:val="008C70FA"/>
    <w:rsid w:val="008D2CAD"/>
    <w:rsid w:val="008D60D0"/>
    <w:rsid w:val="008D61DE"/>
    <w:rsid w:val="008D6925"/>
    <w:rsid w:val="008E0C69"/>
    <w:rsid w:val="008E2E9E"/>
    <w:rsid w:val="008E4267"/>
    <w:rsid w:val="008E670F"/>
    <w:rsid w:val="008F1A11"/>
    <w:rsid w:val="00900EB8"/>
    <w:rsid w:val="00902B8D"/>
    <w:rsid w:val="00902BEE"/>
    <w:rsid w:val="00903F6A"/>
    <w:rsid w:val="00904B01"/>
    <w:rsid w:val="0091024F"/>
    <w:rsid w:val="00910DCD"/>
    <w:rsid w:val="00915630"/>
    <w:rsid w:val="00915CA9"/>
    <w:rsid w:val="009163A1"/>
    <w:rsid w:val="00922714"/>
    <w:rsid w:val="009227B3"/>
    <w:rsid w:val="009302E6"/>
    <w:rsid w:val="009342E2"/>
    <w:rsid w:val="00940C78"/>
    <w:rsid w:val="009466A7"/>
    <w:rsid w:val="009521C3"/>
    <w:rsid w:val="00954768"/>
    <w:rsid w:val="00954EA3"/>
    <w:rsid w:val="0095517A"/>
    <w:rsid w:val="00955313"/>
    <w:rsid w:val="009557F1"/>
    <w:rsid w:val="00960FB9"/>
    <w:rsid w:val="009614E1"/>
    <w:rsid w:val="00962C79"/>
    <w:rsid w:val="00963048"/>
    <w:rsid w:val="00964D21"/>
    <w:rsid w:val="00970D1C"/>
    <w:rsid w:val="0097254D"/>
    <w:rsid w:val="00974350"/>
    <w:rsid w:val="00975C0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9F4C1C"/>
    <w:rsid w:val="00A00C53"/>
    <w:rsid w:val="00A00CDD"/>
    <w:rsid w:val="00A04A52"/>
    <w:rsid w:val="00A07C44"/>
    <w:rsid w:val="00A1234D"/>
    <w:rsid w:val="00A123A9"/>
    <w:rsid w:val="00A13113"/>
    <w:rsid w:val="00A20D89"/>
    <w:rsid w:val="00A20EF5"/>
    <w:rsid w:val="00A217B8"/>
    <w:rsid w:val="00A22FCF"/>
    <w:rsid w:val="00A22FD2"/>
    <w:rsid w:val="00A25E88"/>
    <w:rsid w:val="00A3074C"/>
    <w:rsid w:val="00A324C0"/>
    <w:rsid w:val="00A3536B"/>
    <w:rsid w:val="00A445B4"/>
    <w:rsid w:val="00A4708B"/>
    <w:rsid w:val="00A57A70"/>
    <w:rsid w:val="00A62D36"/>
    <w:rsid w:val="00A64ABC"/>
    <w:rsid w:val="00A6690E"/>
    <w:rsid w:val="00A66E60"/>
    <w:rsid w:val="00A70F98"/>
    <w:rsid w:val="00A72589"/>
    <w:rsid w:val="00A73ABD"/>
    <w:rsid w:val="00A80BB8"/>
    <w:rsid w:val="00A85837"/>
    <w:rsid w:val="00A85D49"/>
    <w:rsid w:val="00A908DC"/>
    <w:rsid w:val="00A929F5"/>
    <w:rsid w:val="00A942CA"/>
    <w:rsid w:val="00A94B1F"/>
    <w:rsid w:val="00A9559C"/>
    <w:rsid w:val="00AA1E8F"/>
    <w:rsid w:val="00AA23B3"/>
    <w:rsid w:val="00AA3E3D"/>
    <w:rsid w:val="00AA488B"/>
    <w:rsid w:val="00AA6FF1"/>
    <w:rsid w:val="00AB0FC5"/>
    <w:rsid w:val="00AB3519"/>
    <w:rsid w:val="00AB72E3"/>
    <w:rsid w:val="00AC0BD3"/>
    <w:rsid w:val="00AC461A"/>
    <w:rsid w:val="00AC5345"/>
    <w:rsid w:val="00AC5CD4"/>
    <w:rsid w:val="00AC7557"/>
    <w:rsid w:val="00AD10E3"/>
    <w:rsid w:val="00AE2768"/>
    <w:rsid w:val="00AE340E"/>
    <w:rsid w:val="00AF5146"/>
    <w:rsid w:val="00AF6D41"/>
    <w:rsid w:val="00AF7A6A"/>
    <w:rsid w:val="00B131DF"/>
    <w:rsid w:val="00B30C97"/>
    <w:rsid w:val="00B311A7"/>
    <w:rsid w:val="00B33D45"/>
    <w:rsid w:val="00B34787"/>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82F3B"/>
    <w:rsid w:val="00B90905"/>
    <w:rsid w:val="00B9176E"/>
    <w:rsid w:val="00B93693"/>
    <w:rsid w:val="00B9392A"/>
    <w:rsid w:val="00B9395D"/>
    <w:rsid w:val="00B9491A"/>
    <w:rsid w:val="00BA0D01"/>
    <w:rsid w:val="00BA204D"/>
    <w:rsid w:val="00BA3F6A"/>
    <w:rsid w:val="00BA7304"/>
    <w:rsid w:val="00BB37C8"/>
    <w:rsid w:val="00BB4906"/>
    <w:rsid w:val="00BC014F"/>
    <w:rsid w:val="00BC04AA"/>
    <w:rsid w:val="00BC180C"/>
    <w:rsid w:val="00BC4DE3"/>
    <w:rsid w:val="00BC6157"/>
    <w:rsid w:val="00BD0EAE"/>
    <w:rsid w:val="00BD34D5"/>
    <w:rsid w:val="00BD37CB"/>
    <w:rsid w:val="00BD4737"/>
    <w:rsid w:val="00BD6A04"/>
    <w:rsid w:val="00BD7807"/>
    <w:rsid w:val="00BE0216"/>
    <w:rsid w:val="00BE0AE6"/>
    <w:rsid w:val="00BE2B16"/>
    <w:rsid w:val="00BE30EC"/>
    <w:rsid w:val="00BE4E7F"/>
    <w:rsid w:val="00BE64CF"/>
    <w:rsid w:val="00BE75FF"/>
    <w:rsid w:val="00BE7653"/>
    <w:rsid w:val="00BE79CD"/>
    <w:rsid w:val="00C006CD"/>
    <w:rsid w:val="00C027C5"/>
    <w:rsid w:val="00C03843"/>
    <w:rsid w:val="00C04B86"/>
    <w:rsid w:val="00C06889"/>
    <w:rsid w:val="00C15054"/>
    <w:rsid w:val="00C15094"/>
    <w:rsid w:val="00C159DC"/>
    <w:rsid w:val="00C17141"/>
    <w:rsid w:val="00C25574"/>
    <w:rsid w:val="00C26B92"/>
    <w:rsid w:val="00C312D8"/>
    <w:rsid w:val="00C34D9E"/>
    <w:rsid w:val="00C40747"/>
    <w:rsid w:val="00C4297C"/>
    <w:rsid w:val="00C43A6E"/>
    <w:rsid w:val="00C44D88"/>
    <w:rsid w:val="00C51D3D"/>
    <w:rsid w:val="00C55A77"/>
    <w:rsid w:val="00C57746"/>
    <w:rsid w:val="00C6195C"/>
    <w:rsid w:val="00C663FA"/>
    <w:rsid w:val="00C71D5F"/>
    <w:rsid w:val="00C73164"/>
    <w:rsid w:val="00C75E49"/>
    <w:rsid w:val="00C76055"/>
    <w:rsid w:val="00C818A9"/>
    <w:rsid w:val="00C81A9B"/>
    <w:rsid w:val="00C9280E"/>
    <w:rsid w:val="00C94719"/>
    <w:rsid w:val="00C9778E"/>
    <w:rsid w:val="00CA00E0"/>
    <w:rsid w:val="00CA08C6"/>
    <w:rsid w:val="00CA12E9"/>
    <w:rsid w:val="00CB2CCF"/>
    <w:rsid w:val="00CB4AD4"/>
    <w:rsid w:val="00CB4E1F"/>
    <w:rsid w:val="00CB5BC2"/>
    <w:rsid w:val="00CB7883"/>
    <w:rsid w:val="00CC519B"/>
    <w:rsid w:val="00CD0DD2"/>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252B8"/>
    <w:rsid w:val="00D346A5"/>
    <w:rsid w:val="00D40BA1"/>
    <w:rsid w:val="00D421F7"/>
    <w:rsid w:val="00D44284"/>
    <w:rsid w:val="00D44F00"/>
    <w:rsid w:val="00D46BD4"/>
    <w:rsid w:val="00D4790B"/>
    <w:rsid w:val="00D514FE"/>
    <w:rsid w:val="00D524A8"/>
    <w:rsid w:val="00D53400"/>
    <w:rsid w:val="00D55618"/>
    <w:rsid w:val="00D558C8"/>
    <w:rsid w:val="00D66FCA"/>
    <w:rsid w:val="00D679AF"/>
    <w:rsid w:val="00D74B47"/>
    <w:rsid w:val="00D753C5"/>
    <w:rsid w:val="00D76BB7"/>
    <w:rsid w:val="00D77231"/>
    <w:rsid w:val="00D81490"/>
    <w:rsid w:val="00D82A0F"/>
    <w:rsid w:val="00D82B82"/>
    <w:rsid w:val="00D83692"/>
    <w:rsid w:val="00D85B25"/>
    <w:rsid w:val="00D86D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19E7"/>
    <w:rsid w:val="00E375A2"/>
    <w:rsid w:val="00E43A90"/>
    <w:rsid w:val="00E45140"/>
    <w:rsid w:val="00E504C1"/>
    <w:rsid w:val="00E50BF7"/>
    <w:rsid w:val="00E52409"/>
    <w:rsid w:val="00E54304"/>
    <w:rsid w:val="00E54314"/>
    <w:rsid w:val="00E579E1"/>
    <w:rsid w:val="00E57A0C"/>
    <w:rsid w:val="00E62062"/>
    <w:rsid w:val="00E6423E"/>
    <w:rsid w:val="00E6511D"/>
    <w:rsid w:val="00E65CE8"/>
    <w:rsid w:val="00E73756"/>
    <w:rsid w:val="00E77C55"/>
    <w:rsid w:val="00E77E8A"/>
    <w:rsid w:val="00E8060F"/>
    <w:rsid w:val="00E8187B"/>
    <w:rsid w:val="00E8582B"/>
    <w:rsid w:val="00E879F8"/>
    <w:rsid w:val="00E91177"/>
    <w:rsid w:val="00E95A33"/>
    <w:rsid w:val="00EA7B14"/>
    <w:rsid w:val="00EA7C2F"/>
    <w:rsid w:val="00EA7CEC"/>
    <w:rsid w:val="00EB4124"/>
    <w:rsid w:val="00EB5043"/>
    <w:rsid w:val="00EB7090"/>
    <w:rsid w:val="00EB72E6"/>
    <w:rsid w:val="00EB7C78"/>
    <w:rsid w:val="00EC330C"/>
    <w:rsid w:val="00EC7ECD"/>
    <w:rsid w:val="00ED0381"/>
    <w:rsid w:val="00ED077D"/>
    <w:rsid w:val="00EE1B16"/>
    <w:rsid w:val="00EE1E5C"/>
    <w:rsid w:val="00EE2BB3"/>
    <w:rsid w:val="00EE6DAC"/>
    <w:rsid w:val="00EF0103"/>
    <w:rsid w:val="00EF0286"/>
    <w:rsid w:val="00EF12FA"/>
    <w:rsid w:val="00EF27CF"/>
    <w:rsid w:val="00EF2C83"/>
    <w:rsid w:val="00EF731D"/>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34ECE"/>
    <w:rsid w:val="00F40AEF"/>
    <w:rsid w:val="00F43526"/>
    <w:rsid w:val="00F4445F"/>
    <w:rsid w:val="00F50497"/>
    <w:rsid w:val="00F539C3"/>
    <w:rsid w:val="00F56A5E"/>
    <w:rsid w:val="00F607D8"/>
    <w:rsid w:val="00F62AC9"/>
    <w:rsid w:val="00F63240"/>
    <w:rsid w:val="00F6403B"/>
    <w:rsid w:val="00F66FC6"/>
    <w:rsid w:val="00F7182A"/>
    <w:rsid w:val="00F92DD5"/>
    <w:rsid w:val="00F944A1"/>
    <w:rsid w:val="00F97356"/>
    <w:rsid w:val="00F97713"/>
    <w:rsid w:val="00FA7696"/>
    <w:rsid w:val="00FB172E"/>
    <w:rsid w:val="00FB51AC"/>
    <w:rsid w:val="00FB5658"/>
    <w:rsid w:val="00FC0CD2"/>
    <w:rsid w:val="00FC0CDF"/>
    <w:rsid w:val="00FC34C6"/>
    <w:rsid w:val="00FD18AC"/>
    <w:rsid w:val="00FD3083"/>
    <w:rsid w:val="00FD4842"/>
    <w:rsid w:val="00FD5ADC"/>
    <w:rsid w:val="00FE0347"/>
    <w:rsid w:val="00FE1AEA"/>
    <w:rsid w:val="00FE6330"/>
    <w:rsid w:val="00FE7B16"/>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34DBFF0D-261E-4FED-A174-1DD9B579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 w:type="table" w:customStyle="1" w:styleId="21111">
    <w:name w:val="网格型21111"/>
    <w:basedOn w:val="a1"/>
    <w:next w:val="ae"/>
    <w:qFormat/>
    <w:rsid w:val="008A38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C399B-4FB2-411D-93D9-7718CD20A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6430</TotalTime>
  <Pages>5</Pages>
  <Words>1397</Words>
  <Characters>7965</Characters>
  <Application>Microsoft Office Word</Application>
  <DocSecurity>0</DocSecurity>
  <Lines>66</Lines>
  <Paragraphs>18</Paragraphs>
  <ScaleCrop>false</ScaleCrop>
  <Company>Huawei Technologies Co.,Ltd.</Company>
  <LinksUpToDate>false</LinksUpToDate>
  <CharactersWithSpaces>9344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2021-12-16T11:56:00Z</dcterms:created>
  <dcterms:modified xsi:type="dcterms:W3CDTF">2023-04-10T21:37:00Z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(3)onoCgey0EWl32IbGETzXlSDdj3gbwB5alc7o8Xru6DtlBa9A3iqjisbfkL8k2WvDwSIye2wi
xkzEntXCIoBMsmiAvOa8M/e9X67BCxYBNvxxogRTHxnfgOv/m5H93i76DPhMMbDtdRFeSXPe
jNYdkEJgWsHvSv3rLMhvzLjez02cP81M2XheJmh+IHAVFmm9dY+oUAeZWYYreOwtbx0gtzXn
/jNCDJPEuiYxa7SX55</vt:lpwstr>
  </property>
  <property fmtid="{D5CDD505-2E9C-101B-9397-08002B2CF9AE}" pid="3" name="_2015_ms_pID_7253431">
    <vt:lpwstr>b6Hf0zP8xgo0nRjDHZVn0c6Q5+wofJ2Tl0/Yr3XCDS45iJTDYzsWvm
FFOCimOzf4BQQaEflzoBAo7ASlrPCrPeZ3HMSyfbI3EDggirbrZmdr+3jlGPd8Pew3Kg/dsX
shgkEBIIEoqZd2HForMBFTieNUiD47GmSu2pDukvZl+Jdwyg7pMGeunQOUr7OVB6e6NCTVDT
jNt2bf2UhXEcNkEPg3SoljPgaOtgCIu5nWIw</vt:lpwstr>
  </property>
  <property fmtid="{D5CDD505-2E9C-101B-9397-08002B2CF9AE}" pid="4" name="_2015_ms_pID_7253432">
    <vt:lpwstr>QZ80Ahay2d1MfWe1iZ+BE94=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1681121743</vt:lpwstr>
  </property>
</Properties>
</file>